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附件</w:t>
      </w:r>
      <w:r>
        <w:rPr>
          <w:rFonts w:hint="eastAsia" w:ascii="黑体" w:eastAsia="黑体"/>
          <w:sz w:val="32"/>
          <w:szCs w:val="32"/>
          <w:shd w:val="clear" w:color="auto" w:fill="FFFFFF"/>
        </w:rPr>
        <w:t>1</w:t>
      </w:r>
    </w:p>
    <w:p>
      <w:pPr>
        <w:keepNext w:val="0"/>
        <w:keepLines w:val="0"/>
        <w:pageBreakBefore w:val="0"/>
        <w:widowControl/>
        <w:kinsoku/>
        <w:overflowPunct/>
        <w:topLinePunct w:val="0"/>
        <w:autoSpaceDN/>
        <w:bidi w:val="0"/>
        <w:spacing w:after="100" w:afterAutospacing="1" w:line="600" w:lineRule="exact"/>
        <w:textAlignment w:val="auto"/>
        <w:rPr>
          <w:sz w:val="30"/>
          <w:szCs w:val="30"/>
          <w:shd w:val="clear" w:color="auto" w:fill="FFFFFF"/>
        </w:rPr>
      </w:pPr>
      <w:r>
        <w:rPr>
          <w:rFonts w:hint="eastAsia"/>
          <w:sz w:val="30"/>
          <w:szCs w:val="30"/>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hAnsi="ˎ̥" w:eastAsia="黑体"/>
          <w:sz w:val="44"/>
          <w:szCs w:val="44"/>
          <w:shd w:val="clear" w:color="auto" w:fill="FFFFFF"/>
        </w:rPr>
      </w:pPr>
      <w:r>
        <w:rPr>
          <w:rFonts w:hint="eastAsia" w:ascii="黑体" w:hAnsi="黑体" w:eastAsia="黑体"/>
          <w:sz w:val="44"/>
          <w:szCs w:val="44"/>
          <w:shd w:val="clear" w:color="auto" w:fill="FFFFFF"/>
        </w:rPr>
        <w:t>海口市贸促会</w:t>
      </w:r>
      <w:r>
        <w:rPr>
          <w:rFonts w:hint="eastAsia" w:ascii="黑体" w:eastAsia="黑体"/>
          <w:sz w:val="44"/>
          <w:szCs w:val="44"/>
          <w:shd w:val="clear" w:color="auto" w:fill="FFFFFF"/>
        </w:rPr>
        <w:t>2020年度部门决算</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hAnsi="ˎ̥" w:eastAsia="黑体"/>
          <w:b/>
          <w:sz w:val="32"/>
          <w:szCs w:val="32"/>
          <w:shd w:val="clear" w:color="auto" w:fill="FFFFFF"/>
        </w:rPr>
      </w:pPr>
      <w:r>
        <w:rPr>
          <w:rFonts w:hint="eastAsia" w:ascii="黑体" w:hAnsi="ˎ̥" w:eastAsia="黑体"/>
          <w:b/>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eastAsia="黑体"/>
          <w:sz w:val="44"/>
          <w:szCs w:val="44"/>
          <w:shd w:val="clear" w:color="auto" w:fill="FFFFFF"/>
        </w:rPr>
      </w:pPr>
      <w:r>
        <w:rPr>
          <w:rFonts w:hint="eastAsia" w:ascii="黑体" w:hAnsi="黑体" w:eastAsia="黑体"/>
          <w:sz w:val="44"/>
          <w:szCs w:val="44"/>
          <w:shd w:val="clear" w:color="auto" w:fill="FFFFFF"/>
        </w:rPr>
        <w:t>目</w:t>
      </w:r>
      <w:r>
        <w:rPr>
          <w:rFonts w:hint="eastAsia" w:ascii="黑体" w:eastAsia="黑体"/>
          <w:sz w:val="44"/>
          <w:szCs w:val="44"/>
          <w:shd w:val="clear" w:color="auto" w:fill="FFFFFF"/>
        </w:rPr>
        <w:t xml:space="preserve">  录</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eastAsia="黑体"/>
          <w:sz w:val="44"/>
          <w:szCs w:val="44"/>
          <w:shd w:val="clear" w:color="auto" w:fill="FFFFFF"/>
        </w:rPr>
      </w:pPr>
    </w:p>
    <w:p>
      <w:pPr>
        <w:pStyle w:val="7"/>
        <w:keepNext w:val="0"/>
        <w:keepLines w:val="0"/>
        <w:pageBreakBefore w:val="0"/>
        <w:widowControl/>
        <w:kinsoku/>
        <w:overflowPunct/>
        <w:topLinePunct w:val="0"/>
        <w:autoSpaceDN/>
        <w:bidi w:val="0"/>
        <w:spacing w:before="0" w:beforeAutospacing="0" w:line="600" w:lineRule="exact"/>
        <w:textAlignment w:val="auto"/>
        <w:rPr>
          <w:sz w:val="32"/>
          <w:szCs w:val="32"/>
          <w:shd w:val="clear" w:color="auto" w:fill="FFFFFF"/>
        </w:rPr>
      </w:pPr>
      <w:r>
        <w:rPr>
          <w:rFonts w:hint="eastAsia" w:ascii="黑体" w:hAnsi="黑体" w:eastAsia="黑体"/>
          <w:sz w:val="32"/>
          <w:szCs w:val="32"/>
          <w:shd w:val="clear" w:color="auto" w:fill="FFFFFF"/>
        </w:rPr>
        <w:t>第一部分</w:t>
      </w:r>
      <w:r>
        <w:rPr>
          <w:rFonts w:hint="eastAsia" w:ascii="黑体" w:hAnsi="ˎ̥" w:eastAsia="黑体"/>
          <w:sz w:val="32"/>
          <w:szCs w:val="32"/>
          <w:shd w:val="clear" w:color="auto" w:fill="FFFFFF"/>
        </w:rPr>
        <w:t xml:space="preserve">  </w:t>
      </w:r>
      <w:r>
        <w:rPr>
          <w:rFonts w:hint="eastAsia" w:ascii="黑体" w:hAnsi="黑体" w:eastAsia="黑体"/>
          <w:sz w:val="32"/>
          <w:szCs w:val="32"/>
          <w:shd w:val="clear" w:color="auto" w:fill="FFFFFF"/>
        </w:rPr>
        <w:t>海口市贸促会部门概况</w:t>
      </w:r>
      <w:r>
        <w:rPr>
          <w:rFonts w:hint="eastAsia"/>
          <w:sz w:val="32"/>
          <w:szCs w:val="32"/>
          <w:shd w:val="clear" w:color="auto" w:fill="FFFFFF"/>
        </w:rPr>
        <w:tab/>
      </w:r>
      <w:r>
        <w:rPr>
          <w:rFonts w:hint="eastAsia"/>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一、部门职责</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二、机构设置</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sz w:val="32"/>
          <w:szCs w:val="32"/>
          <w:shd w:val="clear" w:color="auto" w:fill="FFFFFF"/>
        </w:rPr>
      </w:pPr>
      <w:r>
        <w:rPr>
          <w:rFonts w:hint="eastAsia" w:ascii="黑体" w:hAnsi="黑体" w:eastAsia="黑体"/>
          <w:sz w:val="32"/>
          <w:szCs w:val="32"/>
          <w:shd w:val="clear" w:color="auto" w:fill="FFFFFF"/>
        </w:rPr>
        <w:t>第二部分</w:t>
      </w:r>
      <w:r>
        <w:rPr>
          <w:rFonts w:hint="eastAsia" w:ascii="黑体" w:hAnsi="ˎ̥" w:eastAsia="黑体"/>
          <w:sz w:val="32"/>
          <w:szCs w:val="32"/>
          <w:shd w:val="clear" w:color="auto" w:fill="FFFFFF"/>
        </w:rPr>
        <w:t xml:space="preserve">  </w:t>
      </w:r>
      <w:r>
        <w:rPr>
          <w:rFonts w:hint="eastAsia" w:ascii="黑体" w:hAnsi="黑体" w:eastAsia="黑体"/>
          <w:sz w:val="32"/>
          <w:szCs w:val="32"/>
          <w:shd w:val="clear" w:color="auto" w:fill="FFFFFF"/>
        </w:rPr>
        <w:t>海口市贸促会</w:t>
      </w:r>
      <w:r>
        <w:rPr>
          <w:rFonts w:hint="eastAsia" w:ascii="黑体" w:eastAsia="黑体"/>
          <w:sz w:val="32"/>
          <w:szCs w:val="32"/>
          <w:shd w:val="clear" w:color="auto" w:fill="FFFFFF"/>
        </w:rPr>
        <w:t>2020年度部门决算公开表</w:t>
      </w:r>
      <w:r>
        <w:rPr>
          <w:rFonts w:hint="eastAsia"/>
          <w:sz w:val="32"/>
          <w:szCs w:val="32"/>
          <w:shd w:val="clear" w:color="auto" w:fill="FFFFFF"/>
        </w:rPr>
        <w:tab/>
      </w:r>
      <w:r>
        <w:rPr>
          <w:rFonts w:hint="eastAsia"/>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一、收入支出决算公开表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二、收入决算公开表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三、支出决算公开表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四、财政拨款收入支出决算公开表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五、一般公共预算财政拨款收入支出决算公开表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六、一般公共预算财政拨款基本支出决算公开表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七、政府性基金预算财政拨款收入支出决算公开表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八、国有资本经营预算财政拨款收入支出决算公开表</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pacing w:val="-20"/>
          <w:sz w:val="32"/>
          <w:szCs w:val="32"/>
          <w:shd w:val="clear" w:color="auto" w:fill="FFFFFF"/>
        </w:rPr>
      </w:pPr>
      <w:r>
        <w:rPr>
          <w:rFonts w:hint="eastAsia" w:ascii="仿宋" w:hAnsi="仿宋" w:eastAsia="仿宋"/>
          <w:sz w:val="32"/>
          <w:szCs w:val="32"/>
          <w:shd w:val="clear" w:color="auto" w:fill="FFFFFF"/>
        </w:rPr>
        <w:t>九、</w:t>
      </w:r>
      <w:r>
        <w:rPr>
          <w:rFonts w:hint="eastAsia" w:ascii="仿宋" w:hAnsi="仿宋" w:eastAsia="仿宋"/>
          <w:spacing w:val="-20"/>
          <w:sz w:val="32"/>
          <w:szCs w:val="32"/>
          <w:shd w:val="clear" w:color="auto" w:fill="FFFFFF"/>
        </w:rPr>
        <w:t>一般公共预算财政拨款“三公”经费支出决算公开表</w:t>
      </w:r>
      <w:r>
        <w:rPr>
          <w:rFonts w:hint="eastAsia" w:ascii="仿宋" w:hAnsi="仿宋" w:eastAsia="仿宋"/>
          <w:spacing w:val="-20"/>
          <w:sz w:val="32"/>
          <w:szCs w:val="32"/>
          <w:shd w:val="clear" w:color="auto" w:fill="FFFFFF"/>
          <w:lang w:val="en-US" w:eastAsia="zh-CN"/>
        </w:rPr>
        <w:t xml:space="preserve">  </w:t>
      </w:r>
      <w:r>
        <w:rPr>
          <w:rFonts w:hint="eastAsia" w:ascii="仿宋" w:hAnsi="仿宋" w:eastAsia="仿宋"/>
          <w:spacing w:val="-20"/>
          <w:sz w:val="32"/>
          <w:szCs w:val="32"/>
          <w:shd w:val="clear" w:color="auto" w:fill="FFFFFF"/>
        </w:rPr>
        <w:tab/>
      </w:r>
      <w:r>
        <w:rPr>
          <w:rFonts w:hint="eastAsia" w:ascii="仿宋" w:hAnsi="仿宋" w:eastAsia="仿宋"/>
          <w:spacing w:val="-20"/>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pacing w:val="-23"/>
          <w:w w:val="100"/>
          <w:sz w:val="32"/>
          <w:szCs w:val="32"/>
          <w:shd w:val="clear" w:color="auto" w:fill="FFFFFF"/>
        </w:rPr>
      </w:pPr>
      <w:r>
        <w:rPr>
          <w:rFonts w:hint="eastAsia" w:ascii="仿宋" w:hAnsi="仿宋" w:eastAsia="仿宋"/>
          <w:sz w:val="32"/>
          <w:szCs w:val="32"/>
          <w:shd w:val="clear" w:color="auto" w:fill="FFFFFF"/>
        </w:rPr>
        <w:t>十、</w:t>
      </w:r>
      <w:r>
        <w:rPr>
          <w:rFonts w:hint="eastAsia" w:ascii="仿宋" w:hAnsi="仿宋" w:eastAsia="仿宋"/>
          <w:spacing w:val="-23"/>
          <w:w w:val="100"/>
          <w:sz w:val="32"/>
          <w:szCs w:val="32"/>
          <w:shd w:val="clear" w:color="auto" w:fill="FFFFFF"/>
        </w:rPr>
        <w:t>政府性基金预算财政拨款“三公”经费支出决算公开表</w:t>
      </w:r>
      <w:r>
        <w:rPr>
          <w:rFonts w:hint="eastAsia" w:ascii="仿宋" w:hAnsi="仿宋" w:eastAsia="仿宋"/>
          <w:spacing w:val="-23"/>
          <w:w w:val="100"/>
          <w:sz w:val="32"/>
          <w:szCs w:val="32"/>
          <w:shd w:val="clear" w:color="auto" w:fill="FFFFFF"/>
        </w:rPr>
        <w:tab/>
      </w:r>
      <w:r>
        <w:rPr>
          <w:rFonts w:hint="eastAsia" w:ascii="仿宋" w:hAnsi="仿宋" w:eastAsia="仿宋"/>
          <w:spacing w:val="-23"/>
          <w:w w:val="100"/>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十一、</w:t>
      </w:r>
      <w:r>
        <w:rPr>
          <w:rFonts w:hint="eastAsia" w:ascii="仿宋" w:hAnsi="仿宋" w:eastAsia="仿宋"/>
          <w:spacing w:val="-20"/>
          <w:sz w:val="32"/>
          <w:szCs w:val="32"/>
          <w:shd w:val="clear" w:color="auto" w:fill="FFFFFF"/>
        </w:rPr>
        <w:t>国有资本经营预算财政拨款“三公”经费支出决算公开表</w:t>
      </w:r>
      <w:r>
        <w:rPr>
          <w:rFonts w:hint="eastAsia" w:ascii="仿宋" w:hAnsi="仿宋" w:eastAsia="仿宋"/>
          <w:spacing w:val="-20"/>
          <w:sz w:val="32"/>
          <w:szCs w:val="32"/>
          <w:shd w:val="clear" w:color="auto" w:fill="FFFFFF"/>
        </w:rPr>
        <w:tab/>
      </w:r>
      <w:r>
        <w:rPr>
          <w:rFonts w:hint="eastAsia" w:ascii="仿宋" w:hAnsi="仿宋" w:eastAsia="仿宋"/>
          <w:spacing w:val="-20"/>
          <w:sz w:val="32"/>
          <w:szCs w:val="32"/>
          <w:shd w:val="clear" w:color="auto" w:fill="FFFFFF"/>
          <w:lang w:val="en-US" w:eastAsia="zh-CN"/>
        </w:rPr>
        <w:t xml:space="preserve"> </w:t>
      </w:r>
      <w:r>
        <w:rPr>
          <w:rFonts w:hint="eastAsia" w:ascii="仿宋" w:hAnsi="仿宋" w:eastAsia="仿宋"/>
          <w:spacing w:val="-20"/>
          <w:sz w:val="32"/>
          <w:szCs w:val="32"/>
          <w:shd w:val="clear" w:color="auto" w:fill="FFFFFF"/>
        </w:rPr>
        <w:t>3</w:t>
      </w:r>
    </w:p>
    <w:p>
      <w:pPr>
        <w:pStyle w:val="7"/>
        <w:keepNext w:val="0"/>
        <w:keepLines w:val="0"/>
        <w:pageBreakBefore w:val="0"/>
        <w:widowControl/>
        <w:kinsoku/>
        <w:overflowPunct/>
        <w:topLinePunct w:val="0"/>
        <w:autoSpaceDN/>
        <w:bidi w:val="0"/>
        <w:spacing w:before="0" w:beforeAutospacing="0" w:line="600" w:lineRule="exact"/>
        <w:textAlignment w:val="auto"/>
        <w:rPr>
          <w:sz w:val="32"/>
          <w:szCs w:val="32"/>
          <w:shd w:val="clear" w:color="auto" w:fill="FFFFFF"/>
        </w:rPr>
      </w:pPr>
      <w:r>
        <w:rPr>
          <w:rFonts w:hint="eastAsia" w:ascii="黑体" w:hAnsi="黑体" w:eastAsia="黑体"/>
          <w:sz w:val="32"/>
          <w:szCs w:val="32"/>
          <w:shd w:val="clear" w:color="auto" w:fill="FFFFFF"/>
        </w:rPr>
        <w:t>第三部分</w:t>
      </w:r>
      <w:r>
        <w:rPr>
          <w:rFonts w:hint="eastAsia"/>
          <w:sz w:val="32"/>
          <w:szCs w:val="32"/>
          <w:shd w:val="clear" w:color="auto" w:fill="FFFFFF"/>
        </w:rPr>
        <w:t xml:space="preserve">  </w:t>
      </w:r>
      <w:r>
        <w:rPr>
          <w:rFonts w:hint="eastAsia" w:ascii="黑体" w:hAnsi="黑体" w:eastAsia="黑体"/>
          <w:sz w:val="32"/>
          <w:szCs w:val="32"/>
          <w:shd w:val="clear" w:color="auto" w:fill="FFFFFF"/>
        </w:rPr>
        <w:t>海口市贸促会</w:t>
      </w:r>
      <w:r>
        <w:rPr>
          <w:rFonts w:hint="eastAsia" w:ascii="黑体" w:eastAsia="黑体"/>
          <w:sz w:val="32"/>
          <w:szCs w:val="32"/>
          <w:shd w:val="clear" w:color="auto" w:fill="FFFFFF"/>
        </w:rPr>
        <w:t>2020年度部门决算情况说明</w:t>
      </w:r>
      <w:r>
        <w:rPr>
          <w:rFonts w:hint="eastAsia"/>
          <w:sz w:val="32"/>
          <w:szCs w:val="32"/>
          <w:shd w:val="clear" w:color="auto" w:fill="FFFFFF"/>
        </w:rPr>
        <w:tab/>
      </w:r>
      <w:r>
        <w:rPr>
          <w:rFonts w:hint="eastAsia"/>
          <w:sz w:val="32"/>
          <w:szCs w:val="32"/>
          <w:shd w:val="clear" w:color="auto" w:fill="FFFFFF"/>
        </w:rPr>
        <w:t>4</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一、收入支出决算总体情况说明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4</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二、收入决算情况说明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5</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三、支出决算情况说明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5</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四、财政拨款收入支出决算情况说明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5</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五、一般公共预算财政拨款支出决算情况说明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6</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六、一般公共预算财政拨款基本支出决算情况说明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7</w:t>
      </w:r>
    </w:p>
    <w:p>
      <w:pPr>
        <w:pStyle w:val="7"/>
        <w:keepNext w:val="0"/>
        <w:keepLines w:val="0"/>
        <w:pageBreakBefore w:val="0"/>
        <w:widowControl/>
        <w:numPr>
          <w:ilvl w:val="0"/>
          <w:numId w:val="1"/>
        </w:numPr>
        <w:kinsoku/>
        <w:overflowPunct/>
        <w:topLinePunct w:val="0"/>
        <w:autoSpaceDN/>
        <w:bidi w:val="0"/>
        <w:spacing w:before="0" w:beforeAutospacing="0" w:line="600" w:lineRule="exact"/>
        <w:ind w:left="0" w:firstLine="0"/>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政府性基金预算财政拨款收入支出决算情况说明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8</w:t>
      </w:r>
    </w:p>
    <w:p>
      <w:pPr>
        <w:pStyle w:val="7"/>
        <w:keepNext w:val="0"/>
        <w:keepLines w:val="0"/>
        <w:pageBreakBefore w:val="0"/>
        <w:widowControl/>
        <w:numPr>
          <w:ilvl w:val="0"/>
          <w:numId w:val="1"/>
        </w:numPr>
        <w:kinsoku/>
        <w:overflowPunct/>
        <w:topLinePunct w:val="0"/>
        <w:autoSpaceDN/>
        <w:bidi w:val="0"/>
        <w:spacing w:before="0" w:beforeAutospacing="0" w:line="600" w:lineRule="exact"/>
        <w:ind w:left="0" w:firstLine="0"/>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国有资本经营预算财政拨款收入支出决算情况说明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8</w:t>
      </w:r>
    </w:p>
    <w:p>
      <w:pPr>
        <w:keepNext w:val="0"/>
        <w:keepLines w:val="0"/>
        <w:pageBreakBefore w:val="0"/>
        <w:widowControl/>
        <w:kinsoku/>
        <w:overflowPunct/>
        <w:topLinePunct w:val="0"/>
        <w:autoSpaceDN/>
        <w:bidi w:val="0"/>
        <w:spacing w:after="100" w:afterAutospacing="1" w:line="600" w:lineRule="exact"/>
        <w:textAlignment w:val="auto"/>
        <w:rPr>
          <w:rFonts w:ascii="仿宋" w:hAnsi="仿宋" w:eastAsia="仿宋"/>
          <w:spacing w:val="-20"/>
          <w:sz w:val="32"/>
          <w:szCs w:val="32"/>
          <w:shd w:val="clear" w:color="auto" w:fill="FFFFFF"/>
        </w:rPr>
      </w:pPr>
      <w:r>
        <w:rPr>
          <w:rFonts w:hint="eastAsia" w:ascii="仿宋" w:hAnsi="仿宋" w:eastAsia="仿宋"/>
          <w:bCs/>
          <w:sz w:val="32"/>
          <w:szCs w:val="32"/>
          <w:shd w:val="clear" w:color="auto" w:fill="FFFFFF"/>
        </w:rPr>
        <w:t>九、</w:t>
      </w:r>
      <w:r>
        <w:rPr>
          <w:rFonts w:hint="eastAsia" w:ascii="仿宋" w:hAnsi="仿宋" w:eastAsia="仿宋"/>
          <w:bCs/>
          <w:spacing w:val="-20"/>
          <w:sz w:val="32"/>
          <w:szCs w:val="32"/>
          <w:shd w:val="clear" w:color="auto" w:fill="FFFFFF"/>
        </w:rPr>
        <w:t>一般公共预算财政拨款“三公”经费支出决算情况说明</w:t>
      </w:r>
      <w:r>
        <w:rPr>
          <w:rFonts w:hint="eastAsia" w:ascii="仿宋" w:hAnsi="仿宋" w:eastAsia="仿宋"/>
          <w:bCs/>
          <w:spacing w:val="-20"/>
          <w:sz w:val="32"/>
          <w:szCs w:val="32"/>
          <w:shd w:val="clear" w:color="auto" w:fill="FFFFFF"/>
          <w:lang w:val="en-US" w:eastAsia="zh-CN"/>
        </w:rPr>
        <w:t xml:space="preserve">   </w:t>
      </w:r>
      <w:r>
        <w:rPr>
          <w:rFonts w:hint="eastAsia" w:ascii="仿宋" w:hAnsi="仿宋" w:eastAsia="仿宋"/>
          <w:spacing w:val="-20"/>
          <w:sz w:val="32"/>
          <w:szCs w:val="32"/>
          <w:shd w:val="clear" w:color="auto" w:fill="FFFFFF"/>
        </w:rPr>
        <w:t>8</w:t>
      </w:r>
    </w:p>
    <w:p>
      <w:pPr>
        <w:keepNext w:val="0"/>
        <w:keepLines w:val="0"/>
        <w:pageBreakBefore w:val="0"/>
        <w:widowControl/>
        <w:kinsoku/>
        <w:overflowPunct/>
        <w:topLinePunct w:val="0"/>
        <w:autoSpaceDN/>
        <w:bidi w:val="0"/>
        <w:spacing w:after="100" w:afterAutospacing="1" w:line="600" w:lineRule="exact"/>
        <w:textAlignment w:val="auto"/>
        <w:rPr>
          <w:rFonts w:ascii="仿宋" w:hAnsi="仿宋" w:eastAsia="仿宋"/>
          <w:spacing w:val="-20"/>
          <w:sz w:val="32"/>
          <w:szCs w:val="32"/>
          <w:shd w:val="clear" w:color="auto" w:fill="FFFFFF"/>
        </w:rPr>
      </w:pPr>
      <w:r>
        <w:rPr>
          <w:rFonts w:hint="eastAsia" w:ascii="仿宋" w:hAnsi="仿宋" w:eastAsia="仿宋"/>
          <w:bCs/>
          <w:sz w:val="32"/>
          <w:szCs w:val="32"/>
          <w:shd w:val="clear" w:color="auto" w:fill="FFFFFF"/>
        </w:rPr>
        <w:t>十、</w:t>
      </w:r>
      <w:r>
        <w:rPr>
          <w:rFonts w:hint="eastAsia" w:ascii="仿宋" w:hAnsi="仿宋" w:eastAsia="仿宋"/>
          <w:bCs/>
          <w:spacing w:val="-20"/>
          <w:sz w:val="32"/>
          <w:szCs w:val="32"/>
          <w:shd w:val="clear" w:color="auto" w:fill="FFFFFF"/>
        </w:rPr>
        <w:t>政府性基金预算财政拨款“三公”经费支出决算情况说明</w:t>
      </w:r>
      <w:r>
        <w:rPr>
          <w:rFonts w:hint="eastAsia" w:ascii="仿宋" w:hAnsi="仿宋" w:eastAsia="仿宋"/>
          <w:spacing w:val="-20"/>
          <w:sz w:val="32"/>
          <w:szCs w:val="32"/>
          <w:shd w:val="clear" w:color="auto" w:fill="FFFFFF"/>
        </w:rPr>
        <w:t>10</w:t>
      </w:r>
    </w:p>
    <w:p>
      <w:pPr>
        <w:keepNext w:val="0"/>
        <w:keepLines w:val="0"/>
        <w:pageBreakBefore w:val="0"/>
        <w:widowControl/>
        <w:kinsoku/>
        <w:overflowPunct/>
        <w:topLinePunct w:val="0"/>
        <w:autoSpaceDN/>
        <w:bidi w:val="0"/>
        <w:spacing w:after="100" w:afterAutospacing="1" w:line="600" w:lineRule="exact"/>
        <w:ind w:left="960" w:hanging="960" w:hangingChars="300"/>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十一、国有资本经营预算财政拨款“三公”经费支出决算情况说明</w:t>
      </w:r>
      <w:r>
        <w:rPr>
          <w:rFonts w:hint="eastAsia" w:ascii="仿宋" w:hAnsi="仿宋" w:eastAsia="仿宋"/>
          <w:sz w:val="32"/>
          <w:szCs w:val="32"/>
          <w:shd w:val="clear" w:color="auto" w:fill="FFFFFF"/>
        </w:rPr>
        <w:t>10</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十二、预算绩效情况说明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11</w:t>
      </w:r>
    </w:p>
    <w:p>
      <w:pPr>
        <w:pStyle w:val="7"/>
        <w:keepNext w:val="0"/>
        <w:keepLines w:val="0"/>
        <w:pageBreakBefore w:val="0"/>
        <w:widowControl/>
        <w:kinsoku/>
        <w:overflowPunct/>
        <w:topLinePunct w:val="0"/>
        <w:autoSpaceDN/>
        <w:bidi w:val="0"/>
        <w:spacing w:before="0" w:beforeAutospacing="0" w:line="600" w:lineRule="exact"/>
        <w:textAlignment w:val="auto"/>
        <w:rPr>
          <w:rFonts w:ascii="仿宋" w:hAnsi="仿宋" w:eastAsia="仿宋"/>
          <w:sz w:val="32"/>
          <w:szCs w:val="32"/>
          <w:shd w:val="clear" w:color="auto" w:fill="FFFFFF"/>
        </w:rPr>
      </w:pPr>
      <w:r>
        <w:rPr>
          <w:rFonts w:hint="eastAsia" w:ascii="仿宋" w:hAnsi="仿宋" w:eastAsia="仿宋"/>
          <w:bCs/>
          <w:sz w:val="32"/>
          <w:szCs w:val="32"/>
          <w:shd w:val="clear" w:color="auto" w:fill="FFFFFF"/>
        </w:rPr>
        <w:t>十三、其他重要事项情况说明</w:t>
      </w:r>
      <w:r>
        <w:rPr>
          <w:rFonts w:hint="eastAsia" w:ascii="仿宋" w:hAnsi="仿宋" w:eastAsia="仿宋"/>
          <w:sz w:val="32"/>
          <w:szCs w:val="32"/>
          <w:shd w:val="clear" w:color="auto" w:fill="FFFFFF"/>
        </w:rPr>
        <w:tab/>
      </w:r>
      <w:r>
        <w:rPr>
          <w:rFonts w:hint="eastAsia" w:ascii="仿宋" w:hAnsi="仿宋" w:eastAsia="仿宋"/>
          <w:sz w:val="32"/>
          <w:szCs w:val="32"/>
          <w:shd w:val="clear" w:color="auto" w:fill="FFFFFF"/>
        </w:rPr>
        <w:t>11</w:t>
      </w:r>
    </w:p>
    <w:p>
      <w:pPr>
        <w:pStyle w:val="7"/>
        <w:keepNext w:val="0"/>
        <w:keepLines w:val="0"/>
        <w:pageBreakBefore w:val="0"/>
        <w:widowControl/>
        <w:kinsoku/>
        <w:overflowPunct/>
        <w:topLinePunct w:val="0"/>
        <w:autoSpaceDN/>
        <w:bidi w:val="0"/>
        <w:spacing w:before="0" w:beforeAutospacing="0" w:line="600" w:lineRule="exact"/>
        <w:textAlignment w:val="auto"/>
        <w:rPr>
          <w:sz w:val="32"/>
          <w:szCs w:val="32"/>
          <w:shd w:val="clear" w:color="auto" w:fill="FFFFFF"/>
        </w:rPr>
      </w:pPr>
      <w:r>
        <w:rPr>
          <w:rFonts w:hint="eastAsia" w:ascii="黑体" w:hAnsi="黑体" w:eastAsia="黑体"/>
          <w:sz w:val="32"/>
          <w:szCs w:val="32"/>
          <w:shd w:val="clear" w:color="auto" w:fill="FFFFFF"/>
        </w:rPr>
        <w:t>第四部分</w:t>
      </w:r>
      <w:r>
        <w:rPr>
          <w:rFonts w:hint="eastAsia" w:ascii="黑体" w:hAnsi="ˎ̥" w:eastAsia="黑体"/>
          <w:sz w:val="32"/>
          <w:szCs w:val="32"/>
          <w:shd w:val="clear" w:color="auto" w:fill="FFFFFF"/>
        </w:rPr>
        <w:t xml:space="preserve">  </w:t>
      </w:r>
      <w:r>
        <w:rPr>
          <w:rFonts w:hint="eastAsia" w:ascii="黑体" w:hAnsi="黑体" w:eastAsia="黑体"/>
          <w:sz w:val="32"/>
          <w:szCs w:val="32"/>
          <w:shd w:val="clear" w:color="auto" w:fill="FFFFFF"/>
        </w:rPr>
        <w:t>名词解释</w:t>
      </w:r>
      <w:r>
        <w:rPr>
          <w:rFonts w:hint="eastAsia"/>
          <w:sz w:val="32"/>
          <w:szCs w:val="32"/>
          <w:shd w:val="clear" w:color="auto" w:fill="FFFFFF"/>
        </w:rPr>
        <w:tab/>
      </w:r>
      <w:r>
        <w:rPr>
          <w:rFonts w:hint="eastAsia"/>
          <w:sz w:val="32"/>
          <w:szCs w:val="32"/>
          <w:shd w:val="clear" w:color="auto" w:fill="FFFFFF"/>
        </w:rPr>
        <w:t>13</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hAnsi="ˎ̥" w:eastAsia="黑体"/>
          <w:b/>
          <w:sz w:val="32"/>
          <w:szCs w:val="32"/>
          <w:shd w:val="clear" w:color="auto" w:fill="FFFFFF"/>
        </w:rPr>
      </w:pPr>
      <w:r>
        <w:rPr>
          <w:rFonts w:hint="eastAsia" w:ascii="黑体" w:hAnsi="ˎ̥" w:eastAsia="黑体"/>
          <w:b/>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hAnsi="ˎ̥" w:eastAsia="黑体"/>
          <w:sz w:val="32"/>
          <w:szCs w:val="32"/>
          <w:shd w:val="clear" w:color="auto" w:fill="FFFFFF"/>
        </w:rPr>
      </w:pPr>
      <w:r>
        <w:rPr>
          <w:rFonts w:hint="eastAsia" w:ascii="黑体" w:hAnsi="黑体" w:eastAsia="黑体"/>
          <w:sz w:val="32"/>
          <w:szCs w:val="32"/>
          <w:shd w:val="clear" w:color="auto" w:fill="FFFFFF"/>
        </w:rPr>
        <w:t>第一部分</w:t>
      </w:r>
      <w:r>
        <w:rPr>
          <w:rFonts w:hint="eastAsia" w:ascii="黑体" w:hAnsi="ˎ̥" w:eastAsia="黑体"/>
          <w:sz w:val="32"/>
          <w:szCs w:val="32"/>
          <w:shd w:val="clear" w:color="auto" w:fill="FFFFFF"/>
        </w:rPr>
        <w:t xml:space="preserve">  </w:t>
      </w:r>
      <w:r>
        <w:rPr>
          <w:rFonts w:hint="eastAsia" w:ascii="黑体" w:hAnsi="黑体" w:eastAsia="黑体"/>
          <w:sz w:val="32"/>
          <w:szCs w:val="32"/>
          <w:shd w:val="clear" w:color="auto" w:fill="FFFFFF"/>
        </w:rPr>
        <w:t>海口市贸促会概况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sz w:val="32"/>
          <w:szCs w:val="32"/>
          <w:shd w:val="clear" w:color="auto" w:fill="FFFFFF"/>
        </w:rPr>
      </w:pPr>
      <w:r>
        <w:rPr>
          <w:rFonts w:hint="eastAsia" w:ascii="楷体" w:hAnsi="楷体" w:eastAsia="楷体"/>
          <w:sz w:val="32"/>
          <w:szCs w:val="32"/>
          <w:shd w:val="clear" w:color="auto" w:fill="FFFFFF"/>
        </w:rPr>
        <w:t xml:space="preserve"> </w:t>
      </w:r>
    </w:p>
    <w:p>
      <w:pPr>
        <w:keepNext w:val="0"/>
        <w:keepLines w:val="0"/>
        <w:pageBreakBefore w:val="0"/>
        <w:widowControl/>
        <w:numPr>
          <w:ilvl w:val="0"/>
          <w:numId w:val="2"/>
        </w:numPr>
        <w:kinsoku/>
        <w:overflowPunct/>
        <w:topLinePunct w:val="0"/>
        <w:autoSpaceDN/>
        <w:bidi w:val="0"/>
        <w:spacing w:after="100" w:afterAutospacing="1" w:line="600" w:lineRule="exact"/>
        <w:ind w:firstLine="640" w:firstLineChars="200"/>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单位职责</w:t>
      </w:r>
    </w:p>
    <w:p>
      <w:pPr>
        <w:keepNext w:val="0"/>
        <w:keepLines w:val="0"/>
        <w:pageBreakBefore w:val="0"/>
        <w:widowControl/>
        <w:shd w:val="clear" w:color="auto" w:fill="FFFFFF"/>
        <w:kinsoku/>
        <w:wordWrap w:val="0"/>
        <w:overflowPunct/>
        <w:topLinePunct w:val="0"/>
        <w:autoSpaceDN/>
        <w:bidi w:val="0"/>
        <w:adjustRightInd w:val="0"/>
        <w:snapToGrid w:val="0"/>
        <w:spacing w:line="600" w:lineRule="exact"/>
        <w:ind w:firstLine="640" w:firstLineChars="20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根据市人民政府办公厅 关于印发《中国国际贸易促进委员会海口市委员会深化改革方案》（海府办〔2020〕15 号）精神，中共海口市委机构编制委员会 关于印发《关于市贸促会机关机构编制调整的批复》(海编〔2020〕49号)， 为加强党对贸促会工作的领导，中国国际贸易促进委员会海口市委员会（以下简称市贸促会）是中共海口市委领导的群团组织和海口市人民政府领导同志联系的贸易投资促进机构，是市委市政府联系经贸界人士、企业、团体的重要纽带，是海口与境内外工商界开展经贸交流合作的重要桥梁，是促进全市开放型经济发展和服务对外工作大局的重要力量。</w:t>
      </w:r>
      <w:r>
        <w:rPr>
          <w:rFonts w:hint="eastAsia" w:ascii="仿宋_GB2312" w:hAnsi="楷体" w:eastAsia="仿宋_GB2312"/>
          <w:color w:val="000000"/>
          <w:sz w:val="32"/>
          <w:szCs w:val="32"/>
        </w:rPr>
        <w:t>根据上述文件，本部门主要负责履行以下职责：</w:t>
      </w:r>
    </w:p>
    <w:p>
      <w:pPr>
        <w:keepNext w:val="0"/>
        <w:keepLines w:val="0"/>
        <w:pageBreakBefore w:val="0"/>
        <w:widowControl/>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default" w:ascii="仿宋_GB2312" w:hAnsi="楷体" w:eastAsia="仿宋_GB2312"/>
          <w:color w:val="000000"/>
          <w:sz w:val="32"/>
          <w:szCs w:val="32"/>
          <w:shd w:val="clear" w:color="auto" w:fill="FFFFFF"/>
        </w:rPr>
        <w:t>（</w:t>
      </w:r>
      <w:r>
        <w:rPr>
          <w:rFonts w:hint="eastAsia" w:ascii="仿宋_GB2312" w:hAnsi="楷体" w:eastAsia="仿宋_GB2312"/>
          <w:color w:val="000000"/>
          <w:sz w:val="32"/>
          <w:szCs w:val="32"/>
          <w:shd w:val="clear" w:color="auto" w:fill="FFFFFF"/>
          <w:lang w:val="en-US" w:eastAsia="zh-Hans"/>
        </w:rPr>
        <w:t>一</w:t>
      </w:r>
      <w:r>
        <w:rPr>
          <w:rFonts w:hint="default" w:ascii="仿宋_GB2312" w:hAnsi="楷体" w:eastAsia="仿宋_GB2312"/>
          <w:color w:val="000000"/>
          <w:sz w:val="32"/>
          <w:szCs w:val="32"/>
          <w:shd w:val="clear" w:color="auto" w:fill="FFFFFF"/>
        </w:rPr>
        <w:t>）</w:t>
      </w:r>
      <w:r>
        <w:rPr>
          <w:rFonts w:hint="eastAsia" w:ascii="仿宋_GB2312" w:hAnsi="楷体" w:eastAsia="仿宋_GB2312"/>
          <w:color w:val="000000"/>
          <w:sz w:val="32"/>
          <w:szCs w:val="32"/>
          <w:shd w:val="clear" w:color="auto" w:fill="FFFFFF"/>
        </w:rPr>
        <w:t xml:space="preserve">加强政策调研，提升贸促建言献策水平。 </w:t>
      </w:r>
    </w:p>
    <w:p>
      <w:pPr>
        <w:keepNext w:val="0"/>
        <w:keepLines w:val="0"/>
        <w:pageBreakBefore w:val="0"/>
        <w:widowControl/>
        <w:numPr>
          <w:ilvl w:val="0"/>
          <w:numId w:val="3"/>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强化信息服务平台建设，为企业提供更加有效的贸易与投资信息服务。 </w:t>
      </w:r>
    </w:p>
    <w:p>
      <w:pPr>
        <w:keepNext w:val="0"/>
        <w:keepLines w:val="0"/>
        <w:pageBreakBefore w:val="0"/>
        <w:widowControl/>
        <w:numPr>
          <w:ilvl w:val="0"/>
          <w:numId w:val="3"/>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筹划组织重大经贸活动，实现政治经济综合效应最大化。 </w:t>
      </w:r>
    </w:p>
    <w:p>
      <w:pPr>
        <w:keepNext w:val="0"/>
        <w:keepLines w:val="0"/>
        <w:pageBreakBefore w:val="0"/>
        <w:widowControl/>
        <w:numPr>
          <w:ilvl w:val="0"/>
          <w:numId w:val="3"/>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统筹运用资源,强化贸易促进工作。 </w:t>
      </w:r>
    </w:p>
    <w:p>
      <w:pPr>
        <w:keepNext w:val="0"/>
        <w:keepLines w:val="0"/>
        <w:pageBreakBefore w:val="0"/>
        <w:widowControl/>
        <w:numPr>
          <w:ilvl w:val="0"/>
          <w:numId w:val="3"/>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增强投资促进功能，积极推动双向投资协调发展。 </w:t>
      </w:r>
    </w:p>
    <w:p>
      <w:pPr>
        <w:keepNext w:val="0"/>
        <w:keepLines w:val="0"/>
        <w:pageBreakBefore w:val="0"/>
        <w:widowControl/>
        <w:numPr>
          <w:ilvl w:val="0"/>
          <w:numId w:val="3"/>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拓展商事法律服务，建立良好营商环境。     </w:t>
      </w:r>
    </w:p>
    <w:p>
      <w:pPr>
        <w:keepNext w:val="0"/>
        <w:keepLines w:val="0"/>
        <w:pageBreakBefore w:val="0"/>
        <w:widowControl/>
        <w:numPr>
          <w:ilvl w:val="0"/>
          <w:numId w:val="3"/>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健全工商合作平台，不断扩大中外工商界交流。</w:t>
      </w:r>
    </w:p>
    <w:p>
      <w:pPr>
        <w:keepNext w:val="0"/>
        <w:keepLines w:val="0"/>
        <w:pageBreakBefore w:val="0"/>
        <w:widowControl/>
        <w:numPr>
          <w:ilvl w:val="0"/>
          <w:numId w:val="3"/>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深化海口国际商会改革发展，全面增强服务会员功能。 </w:t>
      </w:r>
    </w:p>
    <w:p>
      <w:pPr>
        <w:keepNext w:val="0"/>
        <w:keepLines w:val="0"/>
        <w:pageBreakBefore w:val="0"/>
        <w:widowControl/>
        <w:numPr>
          <w:ilvl w:val="0"/>
          <w:numId w:val="3"/>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加快驻外工作机构建设，进一步提升海外贸易投资促进能力。</w:t>
      </w:r>
    </w:p>
    <w:p>
      <w:pPr>
        <w:keepNext w:val="0"/>
        <w:keepLines w:val="0"/>
        <w:pageBreakBefore w:val="0"/>
        <w:widowControl/>
        <w:numPr>
          <w:ilvl w:val="0"/>
          <w:numId w:val="3"/>
        </w:numPr>
        <w:shd w:val="clear" w:color="auto" w:fill="FFFFFF"/>
        <w:kinsoku/>
        <w:wordWrap w:val="0"/>
        <w:overflowPunct/>
        <w:topLinePunct w:val="0"/>
        <w:autoSpaceDN/>
        <w:bidi w:val="0"/>
        <w:adjustRightInd w:val="0"/>
        <w:snapToGrid w:val="0"/>
        <w:spacing w:line="600" w:lineRule="exact"/>
        <w:ind w:firstLine="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海口市贸促会内设4个正科级职能机构：         </w:t>
      </w:r>
      <w:r>
        <w:rPr>
          <w:rFonts w:hint="eastAsia" w:ascii="仿宋_GB2312" w:hAnsi="楷体" w:eastAsia="仿宋_GB2312"/>
          <w:color w:val="000000"/>
          <w:sz w:val="32"/>
          <w:szCs w:val="32"/>
          <w:shd w:val="clear" w:color="auto" w:fill="FFFFFF"/>
          <w:lang w:val="en-US" w:eastAsia="zh-CN"/>
        </w:rPr>
        <w:t xml:space="preserve">  </w:t>
      </w:r>
      <w:r>
        <w:rPr>
          <w:rFonts w:hint="eastAsia" w:ascii="仿宋_GB2312" w:hAnsi="楷体" w:eastAsia="仿宋_GB2312"/>
          <w:color w:val="000000"/>
          <w:sz w:val="32"/>
          <w:szCs w:val="32"/>
          <w:shd w:val="clear" w:color="auto" w:fill="FFFFFF"/>
        </w:rPr>
        <w:t>（1）</w:t>
      </w:r>
      <w:r>
        <w:rPr>
          <w:rFonts w:hint="eastAsia" w:ascii="仿宋_GB2312" w:hAnsi="微软雅黑" w:eastAsia="仿宋_GB2312"/>
          <w:sz w:val="32"/>
          <w:szCs w:val="32"/>
          <w:shd w:val="clear" w:color="auto" w:fill="FFFFFF"/>
        </w:rPr>
        <w:t>办公室；（2）贸易投资促进部</w:t>
      </w:r>
      <w:r>
        <w:rPr>
          <w:rFonts w:hint="default" w:ascii="仿宋_GB2312" w:hAnsi="微软雅黑" w:eastAsia="仿宋_GB2312"/>
          <w:sz w:val="32"/>
          <w:szCs w:val="32"/>
          <w:shd w:val="clear" w:color="auto" w:fill="FFFFFF"/>
        </w:rPr>
        <w:t>；</w:t>
      </w:r>
      <w:r>
        <w:rPr>
          <w:rFonts w:hint="eastAsia" w:ascii="仿宋_GB2312" w:hAnsi="微软雅黑" w:eastAsia="仿宋_GB2312"/>
          <w:sz w:val="32"/>
          <w:szCs w:val="32"/>
          <w:shd w:val="clear" w:color="auto" w:fill="FFFFFF"/>
        </w:rPr>
        <w:t>(3)国际联络部；（4）法律事务部</w:t>
      </w:r>
    </w:p>
    <w:p>
      <w:pPr>
        <w:keepNext w:val="0"/>
        <w:keepLines w:val="0"/>
        <w:pageBreakBefore w:val="0"/>
        <w:widowControl/>
        <w:shd w:val="clear" w:color="auto" w:fill="FFFFFF"/>
        <w:kinsoku/>
        <w:wordWrap w:val="0"/>
        <w:overflowPunct/>
        <w:topLinePunct w:val="0"/>
        <w:autoSpaceDN/>
        <w:bidi w:val="0"/>
        <w:adjustRightInd w:val="0"/>
        <w:snapToGrid w:val="0"/>
        <w:spacing w:line="600" w:lineRule="exact"/>
        <w:ind w:left="640"/>
        <w:textAlignment w:val="auto"/>
        <w:rPr>
          <w:rFonts w:ascii="仿宋_GB2312" w:hAnsi="楷体" w:eastAsia="仿宋_GB2312"/>
          <w:color w:val="000000"/>
          <w:sz w:val="32"/>
          <w:szCs w:val="32"/>
          <w:shd w:val="clear" w:color="auto" w:fill="FFFFFF"/>
        </w:rPr>
      </w:pPr>
      <w:r>
        <w:rPr>
          <w:rFonts w:hint="eastAsia" w:ascii="仿宋_GB2312" w:hAnsi="楷体" w:eastAsia="仿宋_GB2312"/>
          <w:color w:val="000000"/>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二、机构设置</w:t>
      </w:r>
    </w:p>
    <w:p>
      <w:pPr>
        <w:keepNext w:val="0"/>
        <w:keepLines w:val="0"/>
        <w:pageBreakBefore w:val="0"/>
        <w:widowControl/>
        <w:kinsoku/>
        <w:overflowPunct/>
        <w:topLinePunct w:val="0"/>
        <w:autoSpaceDE w:val="0"/>
        <w:autoSpaceDN/>
        <w:bidi w:val="0"/>
        <w:spacing w:line="600" w:lineRule="exact"/>
        <w:ind w:firstLine="640"/>
        <w:textAlignment w:val="auto"/>
        <w:rPr>
          <w:rFonts w:hint="eastAsia" w:ascii="仿宋_GB2312" w:hAnsi="ˎ̥" w:eastAsia="仿宋_GB2312"/>
          <w:sz w:val="32"/>
          <w:szCs w:val="32"/>
          <w:shd w:val="clear" w:color="auto" w:fill="FFFFFF"/>
        </w:rPr>
      </w:pPr>
      <w:r>
        <w:rPr>
          <w:rFonts w:hint="eastAsia" w:ascii="仿宋_GB2312" w:hAnsi="ˎ̥" w:eastAsia="仿宋_GB2312"/>
          <w:sz w:val="32"/>
          <w:szCs w:val="32"/>
          <w:shd w:val="clear" w:color="auto" w:fill="FFFFFF"/>
        </w:rPr>
        <w:t>纳入海口市贸促会2020年度部门决算编制范围的二级预算</w:t>
      </w:r>
      <w:r>
        <w:rPr>
          <w:rFonts w:hint="eastAsia" w:ascii="仿宋_GB2312" w:hAnsi="微软雅黑" w:eastAsia="仿宋_GB2312"/>
          <w:sz w:val="32"/>
          <w:szCs w:val="32"/>
          <w:shd w:val="clear" w:color="auto" w:fill="FFFFFF"/>
        </w:rPr>
        <w:t>单位包括：</w:t>
      </w:r>
    </w:p>
    <w:p>
      <w:pPr>
        <w:keepNext w:val="0"/>
        <w:keepLines w:val="0"/>
        <w:pageBreakBefore w:val="0"/>
        <w:widowControl/>
        <w:kinsoku/>
        <w:overflowPunct/>
        <w:topLinePunct w:val="0"/>
        <w:autoSpaceDE w:val="0"/>
        <w:autoSpaceDN/>
        <w:bidi w:val="0"/>
        <w:spacing w:line="600" w:lineRule="exact"/>
        <w:ind w:firstLine="640"/>
        <w:textAlignment w:val="auto"/>
      </w:pPr>
      <w:r>
        <w:rPr>
          <w:rFonts w:hint="eastAsia" w:ascii="楷体" w:hAnsi="楷体" w:eastAsia="楷体"/>
          <w:sz w:val="32"/>
          <w:szCs w:val="32"/>
          <w:shd w:val="clear" w:color="auto" w:fill="FFFFFF"/>
        </w:rPr>
        <w:t>（一）海口市贸促会本级</w:t>
      </w:r>
    </w:p>
    <w:p>
      <w:pPr>
        <w:keepNext w:val="0"/>
        <w:keepLines w:val="0"/>
        <w:pageBreakBefore w:val="0"/>
        <w:widowControl/>
        <w:kinsoku/>
        <w:overflowPunct/>
        <w:topLinePunct w:val="0"/>
        <w:autoSpaceDE w:val="0"/>
        <w:autoSpaceDN/>
        <w:bidi w:val="0"/>
        <w:spacing w:line="600" w:lineRule="exact"/>
        <w:ind w:firstLine="640"/>
        <w:textAlignment w:val="auto"/>
        <w:rPr>
          <w:rFonts w:hint="eastAsia" w:ascii="仿宋_GB2312" w:hAnsi="ˎ̥" w:eastAsia="仿宋_GB2312"/>
          <w:sz w:val="32"/>
          <w:szCs w:val="32"/>
          <w:shd w:val="clear" w:color="auto" w:fill="FFFFFF"/>
        </w:rPr>
      </w:pPr>
      <w:r>
        <w:rPr>
          <w:rFonts w:hint="eastAsia" w:ascii="楷体" w:hAnsi="楷体" w:eastAsia="楷体"/>
          <w:sz w:val="32"/>
          <w:szCs w:val="32"/>
          <w:shd w:val="clear" w:color="auto" w:fill="FFFFFF"/>
        </w:rPr>
        <w:t>（二）无（下属单位）</w:t>
      </w:r>
    </w:p>
    <w:p>
      <w:pPr>
        <w:keepNext w:val="0"/>
        <w:keepLines w:val="0"/>
        <w:pageBreakBefore w:val="0"/>
        <w:widowControl/>
        <w:kinsoku/>
        <w:overflowPunct/>
        <w:topLinePunct w:val="0"/>
        <w:autoSpaceDN/>
        <w:bidi w:val="0"/>
        <w:spacing w:after="100" w:afterAutospacing="1" w:line="600" w:lineRule="exact"/>
        <w:ind w:left="480" w:leftChars="200"/>
        <w:textAlignment w:val="auto"/>
        <w:rPr>
          <w:rFonts w:hint="eastAsia" w:ascii="仿宋_GB2312" w:hAnsi="ˎ̥" w:eastAsia="仿宋_GB2312"/>
          <w:sz w:val="32"/>
          <w:szCs w:val="32"/>
          <w:shd w:val="clear" w:color="auto" w:fill="FFFFFF"/>
        </w:rPr>
      </w:pPr>
      <w:r>
        <w:rPr>
          <w:rFonts w:hint="eastAsia" w:ascii="仿宋_GB2312" w:hAnsi="ˎ̥" w:eastAsia="仿宋_GB2312"/>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jc w:val="both"/>
        <w:textAlignment w:val="auto"/>
        <w:rPr>
          <w:rFonts w:hint="eastAsia" w:ascii="黑体" w:hAnsi="ˎ̥" w:eastAsia="黑体"/>
          <w:sz w:val="32"/>
          <w:szCs w:val="32"/>
          <w:shd w:val="clear" w:color="auto" w:fill="FFFFFF"/>
        </w:rPr>
      </w:pPr>
      <w:r>
        <w:rPr>
          <w:rFonts w:hint="eastAsia" w:ascii="黑体" w:hAnsi="黑体" w:eastAsia="黑体"/>
          <w:sz w:val="32"/>
          <w:szCs w:val="32"/>
          <w:shd w:val="clear" w:color="auto" w:fill="FFFFFF"/>
        </w:rPr>
        <w:t>第二部分</w:t>
      </w:r>
      <w:r>
        <w:rPr>
          <w:rFonts w:hint="eastAsia" w:ascii="黑体" w:hAnsi="ˎ̥" w:eastAsia="黑体"/>
          <w:sz w:val="32"/>
          <w:szCs w:val="32"/>
          <w:shd w:val="clear" w:color="auto" w:fill="FFFFFF"/>
        </w:rPr>
        <w:t xml:space="preserve">  </w:t>
      </w:r>
      <w:r>
        <w:rPr>
          <w:rFonts w:hint="eastAsia" w:ascii="黑体" w:hAnsi="黑体" w:eastAsia="黑体"/>
          <w:sz w:val="32"/>
          <w:szCs w:val="32"/>
          <w:shd w:val="clear" w:color="auto" w:fill="FFFFFF"/>
        </w:rPr>
        <w:t>海口市贸促会</w:t>
      </w:r>
      <w:r>
        <w:rPr>
          <w:rFonts w:hint="eastAsia" w:ascii="黑体" w:eastAsia="黑体"/>
          <w:sz w:val="32"/>
          <w:szCs w:val="32"/>
          <w:shd w:val="clear" w:color="auto" w:fill="FFFFFF"/>
        </w:rPr>
        <w:t>2020年度部门决算公开报表</w:t>
      </w:r>
    </w:p>
    <w:p>
      <w:pPr>
        <w:keepNext w:val="0"/>
        <w:keepLines w:val="0"/>
        <w:pageBreakBefore w:val="0"/>
        <w:widowControl/>
        <w:kinsoku/>
        <w:overflowPunct/>
        <w:topLinePunct w:val="0"/>
        <w:autoSpaceDN/>
        <w:bidi w:val="0"/>
        <w:spacing w:after="100" w:afterAutospacing="1" w:line="600" w:lineRule="exact"/>
        <w:ind w:firstLine="645"/>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一、收入支出决算公开表（见正文附件）。</w:t>
      </w:r>
    </w:p>
    <w:p>
      <w:pPr>
        <w:keepNext w:val="0"/>
        <w:keepLines w:val="0"/>
        <w:pageBreakBefore w:val="0"/>
        <w:widowControl/>
        <w:kinsoku/>
        <w:overflowPunct/>
        <w:topLinePunct w:val="0"/>
        <w:autoSpaceDN/>
        <w:bidi w:val="0"/>
        <w:spacing w:after="100" w:afterAutospacing="1" w:line="600" w:lineRule="exact"/>
        <w:ind w:firstLine="645"/>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二、收入决算公开表（见正文附件）。</w:t>
      </w:r>
    </w:p>
    <w:p>
      <w:pPr>
        <w:keepNext w:val="0"/>
        <w:keepLines w:val="0"/>
        <w:pageBreakBefore w:val="0"/>
        <w:widowControl/>
        <w:kinsoku/>
        <w:overflowPunct/>
        <w:topLinePunct w:val="0"/>
        <w:autoSpaceDN/>
        <w:bidi w:val="0"/>
        <w:spacing w:after="100" w:afterAutospacing="1" w:line="600" w:lineRule="exact"/>
        <w:ind w:firstLine="645"/>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三、支出决算公开表（见正文附件）。</w:t>
      </w:r>
    </w:p>
    <w:p>
      <w:pPr>
        <w:keepNext w:val="0"/>
        <w:keepLines w:val="0"/>
        <w:pageBreakBefore w:val="0"/>
        <w:widowControl/>
        <w:kinsoku/>
        <w:overflowPunct/>
        <w:topLinePunct w:val="0"/>
        <w:autoSpaceDN/>
        <w:bidi w:val="0"/>
        <w:spacing w:after="100" w:afterAutospacing="1" w:line="600" w:lineRule="exact"/>
        <w:ind w:firstLine="645"/>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四、财政拨款收入支出决算公开表（见正文附件）。</w:t>
      </w:r>
    </w:p>
    <w:p>
      <w:pPr>
        <w:keepNext w:val="0"/>
        <w:keepLines w:val="0"/>
        <w:pageBreakBefore w:val="0"/>
        <w:widowControl/>
        <w:kinsoku/>
        <w:overflowPunct/>
        <w:topLinePunct w:val="0"/>
        <w:autoSpaceDN/>
        <w:bidi w:val="0"/>
        <w:spacing w:after="100" w:afterAutospacing="1" w:line="600" w:lineRule="exact"/>
        <w:ind w:firstLine="645"/>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五、一般公共预算财政拨款收入支出决算公开表</w:t>
      </w:r>
    </w:p>
    <w:p>
      <w:pPr>
        <w:keepNext w:val="0"/>
        <w:keepLines w:val="0"/>
        <w:pageBreakBefore w:val="0"/>
        <w:widowControl/>
        <w:kinsoku/>
        <w:overflowPunct/>
        <w:topLinePunct w:val="0"/>
        <w:autoSpaceDN/>
        <w:bidi w:val="0"/>
        <w:spacing w:after="100" w:afterAutospacing="1" w:line="600" w:lineRule="exact"/>
        <w:ind w:firstLine="1302" w:firstLineChars="407"/>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（见正文附件）。</w:t>
      </w:r>
    </w:p>
    <w:p>
      <w:pPr>
        <w:keepNext w:val="0"/>
        <w:keepLines w:val="0"/>
        <w:pageBreakBefore w:val="0"/>
        <w:widowControl/>
        <w:kinsoku/>
        <w:overflowPunct/>
        <w:topLinePunct w:val="0"/>
        <w:autoSpaceDN/>
        <w:bidi w:val="0"/>
        <w:spacing w:after="100" w:afterAutospacing="1" w:line="600" w:lineRule="exact"/>
        <w:ind w:firstLine="645"/>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六、一般公共预算财政拨款基本支出决算公开表</w:t>
      </w:r>
    </w:p>
    <w:p>
      <w:pPr>
        <w:keepNext w:val="0"/>
        <w:keepLines w:val="0"/>
        <w:pageBreakBefore w:val="0"/>
        <w:widowControl/>
        <w:kinsoku/>
        <w:overflowPunct/>
        <w:topLinePunct w:val="0"/>
        <w:autoSpaceDN/>
        <w:bidi w:val="0"/>
        <w:spacing w:after="100" w:afterAutospacing="1" w:line="600" w:lineRule="exact"/>
        <w:ind w:firstLine="1280" w:firstLineChars="400"/>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（见正文附件）。</w:t>
      </w:r>
    </w:p>
    <w:p>
      <w:pPr>
        <w:keepNext w:val="0"/>
        <w:keepLines w:val="0"/>
        <w:pageBreakBefore w:val="0"/>
        <w:widowControl/>
        <w:kinsoku/>
        <w:overflowPunct/>
        <w:topLinePunct w:val="0"/>
        <w:autoSpaceDN/>
        <w:bidi w:val="0"/>
        <w:spacing w:after="100" w:afterAutospacing="1" w:line="600" w:lineRule="exact"/>
        <w:ind w:left="1210" w:leftChars="304" w:hanging="480" w:hangingChars="150"/>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七、政府性基金预算财政拨款收入支出决算公开表</w:t>
      </w:r>
    </w:p>
    <w:p>
      <w:pPr>
        <w:keepNext w:val="0"/>
        <w:keepLines w:val="0"/>
        <w:pageBreakBefore w:val="0"/>
        <w:widowControl/>
        <w:kinsoku/>
        <w:overflowPunct/>
        <w:topLinePunct w:val="0"/>
        <w:autoSpaceDN/>
        <w:bidi w:val="0"/>
        <w:spacing w:after="100" w:afterAutospacing="1" w:line="600" w:lineRule="exact"/>
        <w:ind w:left="1459" w:leftChars="608" w:firstLine="160" w:firstLineChars="50"/>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（见正文附件）。</w:t>
      </w:r>
    </w:p>
    <w:p>
      <w:pPr>
        <w:keepNext w:val="0"/>
        <w:keepLines w:val="0"/>
        <w:pageBreakBefore w:val="0"/>
        <w:widowControl/>
        <w:kinsoku/>
        <w:overflowPunct/>
        <w:topLinePunct w:val="0"/>
        <w:autoSpaceDN/>
        <w:bidi w:val="0"/>
        <w:spacing w:after="100" w:afterAutospacing="1" w:line="600" w:lineRule="exact"/>
        <w:ind w:left="1210" w:leftChars="304" w:hanging="480" w:hangingChars="150"/>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八、国有资本经营预算财政拨款收入支出决算公开表</w:t>
      </w:r>
    </w:p>
    <w:p>
      <w:pPr>
        <w:keepNext w:val="0"/>
        <w:keepLines w:val="0"/>
        <w:pageBreakBefore w:val="0"/>
        <w:widowControl/>
        <w:kinsoku/>
        <w:overflowPunct/>
        <w:topLinePunct w:val="0"/>
        <w:autoSpaceDN/>
        <w:bidi w:val="0"/>
        <w:spacing w:after="100" w:afterAutospacing="1" w:line="600" w:lineRule="exact"/>
        <w:ind w:left="1459" w:leftChars="608" w:firstLine="160" w:firstLineChars="50"/>
        <w:textAlignment w:val="auto"/>
        <w:rPr>
          <w:rFonts w:ascii="黑体" w:eastAsia="黑体"/>
          <w:sz w:val="32"/>
          <w:szCs w:val="32"/>
          <w:shd w:val="clear" w:color="auto" w:fill="FFFFFF"/>
        </w:rPr>
      </w:pPr>
      <w:r>
        <w:rPr>
          <w:rFonts w:hint="eastAsia" w:ascii="黑体" w:hAnsi="黑体" w:eastAsia="黑体"/>
          <w:sz w:val="32"/>
          <w:szCs w:val="32"/>
          <w:shd w:val="clear" w:color="auto" w:fill="FFFFFF"/>
        </w:rPr>
        <w:t>（见正文附件）。</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r>
        <w:rPr>
          <w:rFonts w:hint="eastAsia" w:ascii="黑体" w:hAnsi="黑体" w:eastAsia="黑体"/>
          <w:sz w:val="32"/>
          <w:szCs w:val="32"/>
          <w:shd w:val="clear" w:color="auto" w:fill="FFFFFF"/>
        </w:rPr>
        <w:t>九、一般公共预算财政拨款</w:t>
      </w:r>
      <w:r>
        <w:rPr>
          <w:rFonts w:hint="eastAsia" w:ascii="黑体" w:eastAsia="黑体"/>
          <w:sz w:val="32"/>
          <w:szCs w:val="32"/>
          <w:shd w:val="clear" w:color="auto" w:fill="FFFFFF"/>
        </w:rPr>
        <w:t>“三公”经费支出决算</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r>
        <w:rPr>
          <w:rFonts w:hint="eastAsia" w:ascii="黑体" w:hAnsi="黑体" w:eastAsia="黑体"/>
          <w:sz w:val="32"/>
          <w:szCs w:val="32"/>
          <w:shd w:val="clear" w:color="auto" w:fill="FFFFFF"/>
        </w:rPr>
        <w:t>公开表（见正文附件）。</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r>
        <w:rPr>
          <w:rFonts w:hint="eastAsia" w:ascii="黑体" w:hAnsi="黑体" w:eastAsia="黑体"/>
          <w:sz w:val="32"/>
          <w:szCs w:val="32"/>
          <w:shd w:val="clear" w:color="auto" w:fill="FFFFFF"/>
        </w:rPr>
        <w:t>十、政府性基金预算财政拨款</w:t>
      </w:r>
      <w:r>
        <w:rPr>
          <w:rFonts w:hint="eastAsia" w:ascii="黑体" w:eastAsia="黑体"/>
          <w:sz w:val="32"/>
          <w:szCs w:val="32"/>
          <w:shd w:val="clear" w:color="auto" w:fill="FFFFFF"/>
        </w:rPr>
        <w:t>“三公”经费支出决算</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r>
        <w:rPr>
          <w:rFonts w:hint="eastAsia" w:ascii="黑体" w:hAnsi="黑体" w:eastAsia="黑体"/>
          <w:sz w:val="32"/>
          <w:szCs w:val="32"/>
          <w:shd w:val="clear" w:color="auto" w:fill="FFFFFF"/>
        </w:rPr>
        <w:t>公开表（见正文附件）。</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pacing w:val="-20"/>
          <w:sz w:val="32"/>
          <w:szCs w:val="32"/>
          <w:shd w:val="clear" w:color="auto" w:fill="FFFFFF"/>
        </w:rPr>
      </w:pPr>
      <w:r>
        <w:rPr>
          <w:rFonts w:hint="eastAsia" w:ascii="黑体" w:eastAsia="黑体"/>
          <w:sz w:val="32"/>
          <w:szCs w:val="32"/>
          <w:shd w:val="clear" w:color="auto" w:fill="FFFFFF"/>
        </w:rPr>
        <w:t xml:space="preserve">    </w:t>
      </w:r>
      <w:r>
        <w:rPr>
          <w:rFonts w:hint="eastAsia" w:ascii="黑体" w:hAnsi="黑体" w:eastAsia="黑体"/>
          <w:sz w:val="32"/>
          <w:szCs w:val="32"/>
          <w:shd w:val="clear" w:color="auto" w:fill="FFFFFF"/>
        </w:rPr>
        <w:t>十一、</w:t>
      </w:r>
      <w:r>
        <w:rPr>
          <w:rFonts w:hint="eastAsia" w:ascii="黑体" w:hAnsi="黑体" w:eastAsia="黑体"/>
          <w:spacing w:val="-20"/>
          <w:sz w:val="32"/>
          <w:szCs w:val="32"/>
          <w:shd w:val="clear" w:color="auto" w:fill="FFFFFF"/>
        </w:rPr>
        <w:t>国有资本经营预算财政拨款</w:t>
      </w:r>
      <w:r>
        <w:rPr>
          <w:rFonts w:hint="eastAsia" w:ascii="黑体" w:eastAsia="黑体"/>
          <w:spacing w:val="-20"/>
          <w:sz w:val="32"/>
          <w:szCs w:val="32"/>
          <w:shd w:val="clear" w:color="auto" w:fill="FFFFFF"/>
        </w:rPr>
        <w:t>“三公”经费支出决算</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r>
        <w:rPr>
          <w:rFonts w:hint="eastAsia" w:ascii="黑体" w:hAnsi="黑体" w:eastAsia="黑体"/>
          <w:sz w:val="32"/>
          <w:szCs w:val="32"/>
          <w:shd w:val="clear" w:color="auto" w:fill="FFFFFF"/>
        </w:rPr>
        <w:t>公开表（见正文附件）。</w:t>
      </w:r>
    </w:p>
    <w:p>
      <w:pPr>
        <w:keepNext w:val="0"/>
        <w:keepLines w:val="0"/>
        <w:pageBreakBefore w:val="0"/>
        <w:widowControl/>
        <w:kinsoku/>
        <w:overflowPunct/>
        <w:topLinePunct w:val="0"/>
        <w:autoSpaceDN/>
        <w:bidi w:val="0"/>
        <w:spacing w:after="100" w:afterAutospacing="1" w:line="600" w:lineRule="exact"/>
        <w:textAlignment w:val="auto"/>
        <w:rPr>
          <w:rFonts w:ascii="黑体" w:eastAsia="黑体"/>
          <w:sz w:val="32"/>
          <w:szCs w:val="32"/>
          <w:shd w:val="clear" w:color="auto" w:fill="FFFFFF"/>
        </w:rPr>
      </w:pPr>
      <w:r>
        <w:rPr>
          <w:rFonts w:hint="eastAsia" w:ascii="黑体" w:eastAsia="黑体"/>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hAnsi="ˎ̥" w:eastAsia="黑体"/>
          <w:sz w:val="32"/>
          <w:szCs w:val="32"/>
          <w:shd w:val="clear" w:color="auto" w:fill="FFFFFF"/>
        </w:rPr>
      </w:pPr>
      <w:r>
        <w:rPr>
          <w:rFonts w:hint="eastAsia" w:ascii="黑体" w:hAnsi="黑体" w:eastAsia="黑体"/>
          <w:sz w:val="32"/>
          <w:szCs w:val="32"/>
          <w:shd w:val="clear" w:color="auto" w:fill="FFFFFF"/>
        </w:rPr>
        <w:t>第三部分</w:t>
      </w:r>
      <w:r>
        <w:rPr>
          <w:rFonts w:hint="eastAsia" w:ascii="黑体" w:hAnsi="ˎ̥" w:eastAsia="黑体"/>
          <w:sz w:val="32"/>
          <w:szCs w:val="32"/>
          <w:shd w:val="clear" w:color="auto" w:fill="FFFFFF"/>
        </w:rPr>
        <w:t xml:space="preserve">  </w:t>
      </w:r>
      <w:r>
        <w:rPr>
          <w:rFonts w:hint="eastAsia" w:ascii="黑体" w:hAnsi="黑体" w:eastAsia="黑体"/>
          <w:sz w:val="32"/>
          <w:szCs w:val="32"/>
          <w:shd w:val="clear" w:color="auto" w:fill="FFFFFF"/>
        </w:rPr>
        <w:t>海口市贸促会</w:t>
      </w:r>
      <w:r>
        <w:rPr>
          <w:rFonts w:hint="eastAsia" w:ascii="黑体" w:eastAsia="黑体"/>
          <w:sz w:val="32"/>
          <w:szCs w:val="32"/>
          <w:shd w:val="clear" w:color="auto" w:fill="FFFFFF"/>
        </w:rPr>
        <w:t>2020年度部门决算情况说明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黑体" w:hAnsi="黑体" w:eastAsia="黑体"/>
          <w:bCs/>
          <w:sz w:val="32"/>
          <w:szCs w:val="32"/>
          <w:shd w:val="clear" w:color="auto" w:fill="FFFFFF"/>
        </w:rPr>
        <w:t>一、收入支出决算总体情况说明</w:t>
      </w:r>
      <w:r>
        <w:rPr>
          <w:rFonts w:hint="eastAsia" w:ascii="黑体" w:eastAsia="黑体"/>
          <w:bCs/>
          <w:sz w:val="32"/>
          <w:szCs w:val="32"/>
          <w:shd w:val="clear" w:color="auto" w:fill="FFFFFF"/>
        </w:rPr>
        <w:br w:type="textWrapping"/>
      </w:r>
      <w:r>
        <w:rPr>
          <w:rFonts w:hint="eastAsia" w:ascii="楷体_GB2312" w:hAnsi="ˎ̥" w:eastAsia="楷体_GB2312"/>
          <w:sz w:val="32"/>
          <w:szCs w:val="32"/>
          <w:shd w:val="clear" w:color="auto" w:fill="FFFFFF"/>
        </w:rPr>
        <w:t xml:space="preserve">   </w:t>
      </w:r>
      <w:r>
        <w:rPr>
          <w:rFonts w:hint="eastAsia" w:ascii="楷体_GB2312" w:hAnsi="ˎ̥" w:eastAsia="楷体_GB2312"/>
          <w:color w:val="auto"/>
          <w:sz w:val="32"/>
          <w:szCs w:val="32"/>
          <w:shd w:val="clear" w:color="auto" w:fill="FFFFFF"/>
        </w:rPr>
        <w:t xml:space="preserve"> </w:t>
      </w:r>
      <w:r>
        <w:rPr>
          <w:rFonts w:hint="eastAsia" w:ascii="仿宋_GB2312" w:hAnsi="ˎ̥" w:eastAsia="仿宋_GB2312"/>
          <w:color w:val="auto"/>
          <w:sz w:val="32"/>
          <w:szCs w:val="32"/>
          <w:shd w:val="clear" w:color="auto" w:fill="FFFFFF"/>
        </w:rPr>
        <w:t>2020年度收、支总计483.53万元，与2019年度相比，收入、支出总计各减少55128.08万元，下降99.13%。主要原因：一是我市机构改革后会展局职能并入市商务局，会展中心二期项目所有支出由市商务局支出；二是我市会展专项资金转由市商务局支出。使用非财政拨款结余0.00万元，较2019年度决算数增加0万元,主要是无结余。年初结转结余0.00万元.较2019年度决算数增加0万元，主要原因是无结转结余。结余分配0.22万元，主要是</w:t>
      </w:r>
      <w:r>
        <w:rPr>
          <w:rFonts w:hint="eastAsia" w:ascii="ˎ̥" w:hAnsi="ˎ̥" w:eastAsia="仿宋_GB2312"/>
          <w:color w:val="auto"/>
          <w:sz w:val="32"/>
          <w:szCs w:val="32"/>
          <w:shd w:val="clear" w:color="auto" w:fill="FFFFFF"/>
        </w:rPr>
        <w:t>利息收入</w:t>
      </w:r>
      <w:r>
        <w:rPr>
          <w:rFonts w:hint="eastAsia" w:ascii="仿宋_GB2312" w:hAnsi="ˎ̥" w:eastAsia="仿宋_GB2312"/>
          <w:color w:val="auto"/>
          <w:sz w:val="32"/>
          <w:szCs w:val="32"/>
          <w:shd w:val="clear" w:color="auto" w:fill="FFFFFF"/>
        </w:rPr>
        <w:t>，较2019年度决算数增加0.22万元，增长100%，主要原因是</w:t>
      </w:r>
      <w:r>
        <w:rPr>
          <w:rFonts w:hint="eastAsia" w:ascii="ˎ̥" w:hAnsi="ˎ̥" w:eastAsia="仿宋_GB2312"/>
          <w:color w:val="auto"/>
          <w:sz w:val="32"/>
          <w:szCs w:val="32"/>
          <w:shd w:val="clear" w:color="auto" w:fill="FFFFFF"/>
        </w:rPr>
        <w:t>利息收入增加</w:t>
      </w:r>
      <w:r>
        <w:rPr>
          <w:rFonts w:hint="eastAsia" w:ascii="仿宋_GB2312" w:hAnsi="ˎ̥" w:eastAsia="仿宋_GB2312"/>
          <w:color w:val="auto"/>
          <w:sz w:val="32"/>
          <w:szCs w:val="32"/>
          <w:shd w:val="clear" w:color="auto" w:fill="FFFFFF"/>
        </w:rPr>
        <w:t>。年末结转结余0.00万元，较2019年度决算数增加0万元，增长0%。</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黑体" w:hAnsi="黑体" w:eastAsia="黑体"/>
          <w:bCs/>
          <w:color w:val="auto"/>
          <w:sz w:val="32"/>
          <w:szCs w:val="32"/>
          <w:shd w:val="clear" w:color="auto" w:fill="FFFFFF"/>
        </w:rPr>
        <w:t>二、收入决算情况说明</w:t>
      </w:r>
      <w:r>
        <w:rPr>
          <w:rFonts w:hint="eastAsia" w:ascii="黑体" w:eastAsia="黑体"/>
          <w:bCs/>
          <w:color w:val="auto"/>
          <w:sz w:val="32"/>
          <w:szCs w:val="32"/>
          <w:shd w:val="clear" w:color="auto" w:fill="FFFFFF"/>
        </w:rPr>
        <w:br w:type="textWrapping"/>
      </w:r>
      <w:r>
        <w:rPr>
          <w:rFonts w:hint="eastAsia" w:ascii="仿宋_GB2312" w:hAnsi="ˎ̥" w:eastAsia="仿宋_GB2312"/>
          <w:color w:val="auto"/>
          <w:sz w:val="32"/>
          <w:szCs w:val="32"/>
          <w:shd w:val="clear" w:color="auto" w:fill="FFFFFF"/>
        </w:rPr>
        <w:t xml:space="preserve">    本年收入合计483.53万元，其中：财政拨款收入483.31万元，占99.95%；上级补助收入0.00 万元，占0%；事业收入0.00万元，占0%；经营收入0.00万元，占0%；附属单位上缴收入0.00万元，占0%；其他收入0.22万元，占0.05%。</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ascii="黑体" w:eastAsia="黑体"/>
          <w:bCs/>
          <w:color w:val="auto"/>
          <w:sz w:val="32"/>
          <w:szCs w:val="32"/>
          <w:shd w:val="clear" w:color="auto" w:fill="FFFFFF"/>
        </w:rPr>
      </w:pPr>
      <w:r>
        <w:rPr>
          <w:rFonts w:hint="eastAsia" w:ascii="黑体" w:hAnsi="黑体" w:eastAsia="黑体"/>
          <w:bCs/>
          <w:color w:val="auto"/>
          <w:sz w:val="32"/>
          <w:szCs w:val="32"/>
          <w:shd w:val="clear" w:color="auto" w:fill="FFFFFF"/>
        </w:rPr>
        <w:t>三、支出决算情况说明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本年支出合计483.31万元，其中：基本支出429.33万元，占88.83%；项目支出53.98万元，占11.17%；上缴上级支出0.00万元，占0%；经营支出0.00万元，占0%；对附属单位补助支出0.00万元，占0%。</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ascii="黑体" w:eastAsia="黑体"/>
          <w:bCs/>
          <w:color w:val="auto"/>
          <w:sz w:val="32"/>
          <w:szCs w:val="32"/>
          <w:shd w:val="clear" w:color="auto" w:fill="FFFFFF"/>
        </w:rPr>
      </w:pPr>
      <w:r>
        <w:rPr>
          <w:rFonts w:hint="eastAsia" w:ascii="黑体" w:hAnsi="黑体" w:eastAsia="黑体"/>
          <w:bCs/>
          <w:color w:val="auto"/>
          <w:sz w:val="32"/>
          <w:szCs w:val="32"/>
          <w:shd w:val="clear" w:color="auto" w:fill="FFFFFF"/>
        </w:rPr>
        <w:t>四、财政拨款收入支出决算总体情况说明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财政拨款收入、支出总计483.31万元。与2019年度相比，财政拨款收入、支出总计各减少55128.3万元，下降99.13%。主要原因：一是我市机构改革后会展局职能并入市商务局，会展中心二期项目所有支出由市商务局支出；二是我市会展专项资金转由市商务局支出。</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财政拨款</w:t>
      </w:r>
      <w:r>
        <w:rPr>
          <w:rFonts w:hint="eastAsia" w:ascii="仿宋_GB2312" w:hAnsi="ˎ̥" w:eastAsia="仿宋_GB2312"/>
          <w:color w:val="auto"/>
          <w:kern w:val="2"/>
          <w:sz w:val="32"/>
          <w:szCs w:val="32"/>
          <w:shd w:val="clear" w:color="auto" w:fill="FFFFFF"/>
        </w:rPr>
        <w:t>年初结转结余0万元，主要是年初无结转结余，较2019年度决算数增加0万元，增长0%。</w:t>
      </w:r>
    </w:p>
    <w:p>
      <w:pPr>
        <w:keepNext w:val="0"/>
        <w:keepLines w:val="0"/>
        <w:pageBreakBefore w:val="0"/>
        <w:widowControl/>
        <w:kinsoku/>
        <w:overflowPunct/>
        <w:topLinePunct w:val="0"/>
        <w:autoSpaceDE w:val="0"/>
        <w:autoSpaceDN/>
        <w:bidi w:val="0"/>
        <w:spacing w:before="100" w:beforeAutospacing="1" w:line="600" w:lineRule="exact"/>
        <w:ind w:firstLine="640" w:firstLineChars="200"/>
        <w:textAlignment w:val="auto"/>
      </w:pPr>
      <w:r>
        <w:rPr>
          <w:rFonts w:hint="eastAsia" w:ascii="仿宋_GB2312" w:hAnsi="ˎ̥" w:eastAsia="仿宋_GB2312"/>
          <w:color w:val="auto"/>
          <w:kern w:val="2"/>
          <w:sz w:val="32"/>
          <w:szCs w:val="32"/>
          <w:shd w:val="clear" w:color="auto" w:fill="FFFFFF"/>
        </w:rPr>
        <w:t>财政拨款年末结转结余0万元，主要是年末无结转结余，较2019年度年末决算数减少0万元，下降0%，。</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ascii="黑体" w:eastAsia="黑体"/>
          <w:bCs/>
          <w:sz w:val="32"/>
          <w:szCs w:val="32"/>
          <w:shd w:val="clear" w:color="auto" w:fill="FFFFFF"/>
        </w:rPr>
      </w:pPr>
      <w:r>
        <w:rPr>
          <w:rFonts w:hint="eastAsia" w:ascii="黑体" w:hAnsi="黑体" w:eastAsia="黑体"/>
          <w:bCs/>
          <w:sz w:val="32"/>
          <w:szCs w:val="32"/>
          <w:shd w:val="clear" w:color="auto" w:fill="FFFFFF"/>
        </w:rPr>
        <w:t>五、一般公共预算财政拨款支出决算情况说明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sz w:val="32"/>
          <w:szCs w:val="32"/>
          <w:shd w:val="clear" w:color="auto" w:fill="FFFFFF"/>
        </w:rPr>
      </w:pPr>
      <w:r>
        <w:rPr>
          <w:rFonts w:hint="eastAsia" w:ascii="楷体" w:hAnsi="楷体" w:eastAsia="楷体"/>
          <w:sz w:val="32"/>
          <w:szCs w:val="32"/>
          <w:shd w:val="clear" w:color="auto" w:fill="FFFFFF"/>
        </w:rPr>
        <w:t>（一）一般公共预算财政拨款支出决算总体情况。</w:t>
      </w:r>
    </w:p>
    <w:p>
      <w:pPr>
        <w:keepNext w:val="0"/>
        <w:keepLines w:val="0"/>
        <w:pageBreakBefore w:val="0"/>
        <w:widowControl/>
        <w:kinsoku/>
        <w:overflowPunct/>
        <w:topLinePunct w:val="0"/>
        <w:autoSpaceDE w:val="0"/>
        <w:autoSpaceDN/>
        <w:bidi w:val="0"/>
        <w:spacing w:before="100" w:before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2020年度一般公共预算财政拨款支出483.31万元，占本年支出合计的100%。与2019年度相比，一般公共预算财政拨款支出减少2759.52万元，下降85.09%，主要原因是会展扶持资金移交市商务局。</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sz w:val="32"/>
          <w:szCs w:val="32"/>
          <w:shd w:val="clear" w:color="auto" w:fill="FFFFFF"/>
        </w:rPr>
      </w:pPr>
      <w:r>
        <w:rPr>
          <w:rFonts w:hint="eastAsia" w:ascii="楷体" w:hAnsi="楷体" w:eastAsia="楷体"/>
          <w:sz w:val="32"/>
          <w:szCs w:val="32"/>
          <w:shd w:val="clear" w:color="auto" w:fill="FFFFFF"/>
        </w:rPr>
        <w:t>（二）一般公共预算财政拨款支出决算结构情况。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sz w:val="32"/>
          <w:szCs w:val="32"/>
          <w:shd w:val="clear" w:color="auto" w:fill="FFFFFF"/>
        </w:rPr>
      </w:pPr>
      <w:r>
        <w:rPr>
          <w:rFonts w:hint="eastAsia" w:ascii="仿宋_GB2312" w:hAnsi="ˎ̥" w:eastAsia="仿宋_GB2312"/>
          <w:sz w:val="32"/>
          <w:szCs w:val="32"/>
          <w:shd w:val="clear" w:color="auto" w:fill="FFFFFF"/>
        </w:rPr>
        <w:t>2020年度一般公共预算财政拨款支出483.31万元，主要用于以下方面：</w:t>
      </w:r>
      <w:r>
        <w:rPr>
          <w:rFonts w:hint="eastAsia" w:ascii="仿宋_GB2312" w:hAnsi="ˎ̥" w:eastAsia="仿宋_GB2312"/>
          <w:b/>
          <w:sz w:val="32"/>
          <w:szCs w:val="32"/>
          <w:shd w:val="clear" w:color="auto" w:fill="FFFFFF"/>
        </w:rPr>
        <w:t>一般公共服务（类）</w:t>
      </w:r>
      <w:r>
        <w:rPr>
          <w:rFonts w:hint="eastAsia" w:ascii="仿宋_GB2312" w:hAnsi="ˎ̥" w:eastAsia="仿宋_GB2312"/>
          <w:sz w:val="32"/>
          <w:szCs w:val="32"/>
          <w:shd w:val="clear" w:color="auto" w:fill="FFFFFF"/>
        </w:rPr>
        <w:t>支出396.52万元，占82.04%；</w:t>
      </w:r>
      <w:r>
        <w:rPr>
          <w:rFonts w:hint="eastAsia" w:ascii="仿宋_GB2312" w:hAnsi="ˎ̥" w:eastAsia="仿宋_GB2312"/>
          <w:b/>
          <w:sz w:val="32"/>
          <w:szCs w:val="32"/>
          <w:shd w:val="clear" w:color="auto" w:fill="FFFFFF"/>
        </w:rPr>
        <w:t>社会保障和就业（类）</w:t>
      </w:r>
      <w:r>
        <w:rPr>
          <w:rFonts w:hint="eastAsia" w:ascii="仿宋_GB2312" w:hAnsi="ˎ̥" w:eastAsia="仿宋_GB2312"/>
          <w:sz w:val="32"/>
          <w:szCs w:val="32"/>
          <w:shd w:val="clear" w:color="auto" w:fill="FFFFFF"/>
        </w:rPr>
        <w:t>支出27.35万元，占5.65%；</w:t>
      </w:r>
      <w:r>
        <w:rPr>
          <w:rFonts w:hint="eastAsia" w:ascii="仿宋_GB2312" w:hAnsi="ˎ̥" w:eastAsia="仿宋_GB2312"/>
          <w:b/>
          <w:bCs/>
          <w:sz w:val="32"/>
          <w:szCs w:val="32"/>
          <w:shd w:val="clear" w:color="auto" w:fill="FFFFFF"/>
        </w:rPr>
        <w:t>住房保障（类）</w:t>
      </w:r>
      <w:r>
        <w:rPr>
          <w:rFonts w:hint="eastAsia" w:ascii="仿宋_GB2312" w:hAnsi="ˎ̥" w:eastAsia="仿宋_GB2312"/>
          <w:sz w:val="32"/>
          <w:szCs w:val="32"/>
          <w:shd w:val="clear" w:color="auto" w:fill="FFFFFF"/>
        </w:rPr>
        <w:t>支出27.22万元，占5.63%；</w:t>
      </w:r>
      <w:r>
        <w:rPr>
          <w:rFonts w:hint="eastAsia" w:ascii="仿宋_GB2312" w:hAnsi="ˎ̥" w:eastAsia="仿宋_GB2312"/>
          <w:b/>
          <w:sz w:val="32"/>
          <w:szCs w:val="32"/>
          <w:shd w:val="clear" w:color="auto" w:fill="FFFFFF"/>
        </w:rPr>
        <w:t>卫生健康</w:t>
      </w:r>
      <w:r>
        <w:rPr>
          <w:rFonts w:hint="eastAsia" w:ascii="仿宋_GB2312" w:hAnsi="ˎ̥" w:eastAsia="仿宋_GB2312"/>
          <w:b/>
          <w:bCs/>
          <w:sz w:val="32"/>
          <w:szCs w:val="32"/>
          <w:shd w:val="clear" w:color="auto" w:fill="FFFFFF"/>
        </w:rPr>
        <w:t>（类）</w:t>
      </w:r>
      <w:r>
        <w:rPr>
          <w:rFonts w:hint="eastAsia" w:ascii="仿宋_GB2312" w:hAnsi="ˎ̥" w:eastAsia="仿宋_GB2312"/>
          <w:sz w:val="32"/>
          <w:szCs w:val="32"/>
          <w:shd w:val="clear" w:color="auto" w:fill="FFFFFF"/>
        </w:rPr>
        <w:t>支出32.22万元占6.67%。</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仿宋_GB2312" w:hAnsi="ˎ̥" w:eastAsia="仿宋_GB2312"/>
          <w:sz w:val="32"/>
          <w:szCs w:val="32"/>
          <w:shd w:val="clear" w:color="auto" w:fill="FFFFFF"/>
        </w:rPr>
      </w:pPr>
      <w:r>
        <w:rPr>
          <w:rFonts w:hint="eastAsia" w:ascii="楷体" w:hAnsi="楷体" w:eastAsia="楷体"/>
          <w:sz w:val="32"/>
          <w:szCs w:val="32"/>
          <w:shd w:val="clear" w:color="auto" w:fill="FFFFFF"/>
        </w:rPr>
        <w:t>（三）一般公共预算财政拨款支出决算具体情况。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sz w:val="32"/>
          <w:szCs w:val="32"/>
          <w:shd w:val="clear" w:color="auto" w:fill="FFFFFF"/>
        </w:rPr>
      </w:pPr>
      <w:r>
        <w:rPr>
          <w:rFonts w:hint="eastAsia" w:ascii="仿宋_GB2312" w:hAnsi="ˎ̥" w:eastAsia="仿宋_GB2312"/>
          <w:sz w:val="32"/>
          <w:szCs w:val="32"/>
          <w:shd w:val="clear" w:color="auto" w:fill="FFFFFF"/>
        </w:rPr>
        <w:t>2020年度一般公共预算财政拨款支出年初预算为</w:t>
      </w:r>
      <w:r>
        <w:rPr>
          <w:rFonts w:hint="eastAsia" w:ascii="仿宋_GB2312" w:eastAsia="仿宋_GB2312"/>
          <w:sz w:val="32"/>
          <w:szCs w:val="32"/>
        </w:rPr>
        <w:t>495.308</w:t>
      </w:r>
      <w:r>
        <w:rPr>
          <w:rFonts w:hint="eastAsia" w:ascii="仿宋_GB2312" w:hAnsi="ˎ̥" w:eastAsia="仿宋_GB2312"/>
          <w:sz w:val="32"/>
          <w:szCs w:val="32"/>
          <w:shd w:val="clear" w:color="auto" w:fill="FFFFFF"/>
        </w:rPr>
        <w:t>万元，支出决算为483.31万元，完成年初预算的97.57。其中：</w:t>
      </w:r>
    </w:p>
    <w:p>
      <w:pPr>
        <w:keepNext w:val="0"/>
        <w:keepLines w:val="0"/>
        <w:pageBreakBefore w:val="0"/>
        <w:widowControl/>
        <w:numPr>
          <w:ilvl w:val="0"/>
          <w:numId w:val="4"/>
        </w:numPr>
        <w:kinsoku/>
        <w:overflowPunct/>
        <w:topLinePunct w:val="0"/>
        <w:autoSpaceDN/>
        <w:bidi w:val="0"/>
        <w:spacing w:line="600" w:lineRule="exact"/>
        <w:ind w:firstLine="643" w:firstLineChars="200"/>
        <w:textAlignment w:val="auto"/>
        <w:rPr>
          <w:rFonts w:hint="eastAsia" w:ascii="仿宋_GB2312" w:hAnsi="ˎ̥" w:eastAsia="仿宋_GB2312" w:cs="仿宋_GB2312"/>
          <w:b/>
          <w:color w:val="auto"/>
          <w:sz w:val="32"/>
          <w:szCs w:val="32"/>
          <w:shd w:val="clear" w:color="auto" w:fill="FFFFFF"/>
        </w:rPr>
      </w:pPr>
      <w:r>
        <w:rPr>
          <w:rFonts w:hint="eastAsia" w:ascii="仿宋_GB2312" w:hAnsi="ˎ̥" w:eastAsia="仿宋_GB2312" w:cs="仿宋_GB2312"/>
          <w:b/>
          <w:color w:val="auto"/>
          <w:sz w:val="32"/>
          <w:szCs w:val="32"/>
          <w:shd w:val="clear" w:color="auto" w:fill="FFFFFF"/>
        </w:rPr>
        <w:t>一般公共服务（类）人大事务（款）行政运行（项）。</w:t>
      </w:r>
    </w:p>
    <w:p>
      <w:pPr>
        <w:keepNext w:val="0"/>
        <w:keepLines w:val="0"/>
        <w:pageBreakBefore w:val="0"/>
        <w:widowControl/>
        <w:kinsoku/>
        <w:overflowPunct/>
        <w:topLinePunct w:val="0"/>
        <w:autoSpaceDN/>
        <w:bidi w:val="0"/>
        <w:spacing w:line="600" w:lineRule="exact"/>
        <w:ind w:firstLine="640" w:firstLineChars="200"/>
        <w:textAlignment w:val="auto"/>
        <w:rPr>
          <w:rFonts w:hint="eastAsia" w:ascii="仿宋_GB2312" w:hAnsi="ˎ̥" w:eastAsia="仿宋_GB2312" w:cs="仿宋_GB2312"/>
          <w:b/>
          <w:color w:val="auto"/>
          <w:sz w:val="32"/>
          <w:szCs w:val="32"/>
          <w:shd w:val="clear" w:color="auto" w:fill="FFFFFF"/>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328.44</w:t>
      </w:r>
      <w:r>
        <w:rPr>
          <w:rFonts w:hint="eastAsia" w:ascii="仿宋_GB2312" w:hAnsi="ˎ̥" w:eastAsia="仿宋_GB2312" w:cs="仿宋_GB2312"/>
          <w:color w:val="auto"/>
          <w:sz w:val="32"/>
          <w:szCs w:val="32"/>
          <w:shd w:val="clear" w:color="auto" w:fill="FFFFFF"/>
        </w:rPr>
        <w:t>万元，支出决算为342.54万元，完成年初预算的104.29%。决算数大于预算数的主要原因：基本支出中人员经费及公用经费增加。</w:t>
      </w:r>
    </w:p>
    <w:p>
      <w:pPr>
        <w:keepNext w:val="0"/>
        <w:keepLines w:val="0"/>
        <w:pageBreakBefore w:val="0"/>
        <w:widowControl/>
        <w:numPr>
          <w:ilvl w:val="0"/>
          <w:numId w:val="4"/>
        </w:numPr>
        <w:kinsoku/>
        <w:overflowPunct/>
        <w:topLinePunct w:val="0"/>
        <w:autoSpaceDN/>
        <w:bidi w:val="0"/>
        <w:spacing w:line="600" w:lineRule="exact"/>
        <w:ind w:firstLine="643" w:firstLineChars="200"/>
        <w:textAlignment w:val="auto"/>
        <w:rPr>
          <w:rFonts w:hint="eastAsia" w:ascii="仿宋_GB2312" w:hAnsi="ˎ̥" w:eastAsia="仿宋_GB2312" w:cs="仿宋_GB2312"/>
          <w:b/>
          <w:color w:val="auto"/>
          <w:sz w:val="32"/>
          <w:szCs w:val="32"/>
          <w:shd w:val="clear" w:color="auto" w:fill="FFFFFF"/>
        </w:rPr>
      </w:pPr>
      <w:r>
        <w:rPr>
          <w:rFonts w:hint="eastAsia" w:ascii="仿宋_GB2312" w:hAnsi="ˎ̥" w:eastAsia="仿宋_GB2312" w:cs="仿宋_GB2312"/>
          <w:b/>
          <w:color w:val="auto"/>
          <w:sz w:val="32"/>
          <w:szCs w:val="32"/>
          <w:shd w:val="clear" w:color="auto" w:fill="FFFFFF"/>
        </w:rPr>
        <w:t>一般公共服务（类）人大事务（款）一般行政管理事务（项）。</w:t>
      </w:r>
    </w:p>
    <w:p>
      <w:pPr>
        <w:keepNext w:val="0"/>
        <w:keepLines w:val="0"/>
        <w:pageBreakBefore w:val="0"/>
        <w:widowControl/>
        <w:kinsoku/>
        <w:overflowPunct/>
        <w:topLinePunct w:val="0"/>
        <w:autoSpaceDN/>
        <w:bidi w:val="0"/>
        <w:spacing w:line="600" w:lineRule="exact"/>
        <w:ind w:firstLine="640" w:firstLineChars="200"/>
        <w:textAlignment w:val="auto"/>
        <w:rPr>
          <w:rFonts w:hint="eastAsia" w:ascii="仿宋_GB2312" w:hAnsi="ˎ̥" w:eastAsia="仿宋_GB2312" w:cs="仿宋_GB2312"/>
          <w:color w:val="auto"/>
          <w:sz w:val="32"/>
          <w:szCs w:val="32"/>
          <w:shd w:val="clear" w:color="auto" w:fill="FFFFFF"/>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51.5</w:t>
      </w:r>
      <w:r>
        <w:rPr>
          <w:rFonts w:hint="eastAsia" w:ascii="仿宋_GB2312" w:hAnsi="ˎ̥" w:eastAsia="仿宋_GB2312" w:cs="仿宋_GB2312"/>
          <w:color w:val="auto"/>
          <w:sz w:val="32"/>
          <w:szCs w:val="32"/>
          <w:shd w:val="clear" w:color="auto" w:fill="FFFFFF"/>
        </w:rPr>
        <w:t>万元，支出决算为53.98万元，完成年初预算的104.82%。决算数大于预算数的主要原因：会展项目增加。</w:t>
      </w:r>
      <w:r>
        <w:rPr>
          <w:rFonts w:hint="default" w:ascii="仿宋_GB2312" w:hAnsi="ˎ̥" w:eastAsia="仿宋_GB2312" w:cs="仿宋_GB2312"/>
          <w:color w:val="auto"/>
          <w:sz w:val="32"/>
          <w:szCs w:val="32"/>
          <w:shd w:val="clear" w:color="auto" w:fill="FFFFFF"/>
        </w:rPr>
        <w:t xml:space="preserve"> </w:t>
      </w:r>
    </w:p>
    <w:p>
      <w:pPr>
        <w:pStyle w:val="10"/>
        <w:keepNext w:val="0"/>
        <w:keepLines w:val="0"/>
        <w:pageBreakBefore w:val="0"/>
        <w:widowControl/>
        <w:numPr>
          <w:ilvl w:val="0"/>
          <w:numId w:val="4"/>
        </w:numPr>
        <w:kinsoku/>
        <w:wordWrap/>
        <w:overflowPunct/>
        <w:topLinePunct w:val="0"/>
        <w:autoSpaceDE/>
        <w:autoSpaceDN/>
        <w:bidi w:val="0"/>
        <w:adjustRightInd/>
        <w:snapToGrid/>
        <w:spacing w:line="600" w:lineRule="exact"/>
        <w:ind w:left="0" w:leftChars="0" w:right="0" w:rightChars="0" w:firstLine="567" w:firstLineChars="0"/>
        <w:jc w:val="left"/>
        <w:textAlignment w:val="auto"/>
        <w:outlineLvl w:val="9"/>
        <w:rPr>
          <w:rFonts w:hint="eastAsia" w:ascii="仿宋_GB2312" w:hAnsi="黑体" w:eastAsia="仿宋_GB2312"/>
          <w:color w:val="auto"/>
          <w:sz w:val="32"/>
          <w:szCs w:val="32"/>
        </w:rPr>
      </w:pPr>
      <w:r>
        <w:rPr>
          <w:rFonts w:hint="eastAsia" w:ascii="仿宋_GB2312" w:hAnsi="黑体" w:eastAsia="仿宋_GB2312" w:cs="仿宋_GB2312"/>
          <w:b/>
          <w:bCs/>
          <w:color w:val="auto"/>
          <w:sz w:val="32"/>
          <w:szCs w:val="32"/>
        </w:rPr>
        <w:t>社会保障和就业（类）行政事业单位养老（款）机关事业单位基本养老保险缴费（项）</w:t>
      </w:r>
    </w:p>
    <w:p>
      <w:pPr>
        <w:pStyle w:val="10"/>
        <w:keepNext w:val="0"/>
        <w:keepLines w:val="0"/>
        <w:pageBreakBefore w:val="0"/>
        <w:widowControl/>
        <w:kinsoku/>
        <w:overflowPunct/>
        <w:topLinePunct w:val="0"/>
        <w:autoSpaceDN/>
        <w:bidi w:val="0"/>
        <w:spacing w:line="600" w:lineRule="exact"/>
        <w:jc w:val="left"/>
        <w:textAlignment w:val="auto"/>
        <w:rPr>
          <w:rFonts w:ascii="仿宋_GB2312" w:hAnsi="ˎ̥" w:eastAsia="仿宋_GB2312" w:cs="仿宋_GB2312"/>
          <w:color w:val="auto"/>
          <w:sz w:val="32"/>
          <w:szCs w:val="32"/>
          <w:shd w:val="clear" w:color="auto" w:fill="FFFFFF"/>
        </w:rPr>
      </w:pPr>
      <w:r>
        <w:rPr>
          <w:rFonts w:hint="eastAsia" w:ascii="仿宋_GB2312" w:hAnsi="ˎ̥" w:eastAsia="仿宋_GB2312" w:cs="仿宋_GB2312"/>
          <w:color w:val="auto"/>
          <w:sz w:val="32"/>
          <w:szCs w:val="32"/>
          <w:shd w:val="clear" w:color="auto" w:fill="FFFFFF"/>
          <w:lang w:val="en-US" w:eastAsia="zh-CN" w:bidi="ar-SA"/>
        </w:rPr>
        <w:t>年初预算为38.65万元，支出决算为23.92万元，完成年初预算的61.88%。决算数小于预算数的主要原因：主要是人员减少。</w:t>
      </w:r>
    </w:p>
    <w:p>
      <w:pPr>
        <w:keepNext w:val="0"/>
        <w:keepLines w:val="0"/>
        <w:pageBreakBefore w:val="0"/>
        <w:widowControl/>
        <w:numPr>
          <w:ilvl w:val="0"/>
          <w:numId w:val="4"/>
        </w:numPr>
        <w:kinsoku/>
        <w:overflowPunct/>
        <w:topLinePunct w:val="0"/>
        <w:autoSpaceDN/>
        <w:bidi w:val="0"/>
        <w:spacing w:line="600" w:lineRule="exact"/>
        <w:ind w:firstLine="643" w:firstLineChars="200"/>
        <w:textAlignment w:val="auto"/>
        <w:rPr>
          <w:rFonts w:hint="eastAsia" w:ascii="仿宋_GB2312" w:hAnsi="黑体" w:eastAsia="仿宋_GB2312"/>
          <w:color w:val="auto"/>
          <w:sz w:val="32"/>
          <w:szCs w:val="32"/>
        </w:rPr>
      </w:pPr>
      <w:r>
        <w:rPr>
          <w:rFonts w:hint="eastAsia" w:ascii="仿宋_GB2312" w:hAnsi="黑体" w:eastAsia="仿宋_GB2312" w:cs="仿宋_GB2312"/>
          <w:b/>
          <w:bCs/>
          <w:color w:val="auto"/>
          <w:sz w:val="32"/>
          <w:szCs w:val="32"/>
        </w:rPr>
        <w:t>社会保障和就业（类）行政事业单位养老（款）其他行政事业单位养老支出（项）</w:t>
      </w:r>
    </w:p>
    <w:p>
      <w:pPr>
        <w:pStyle w:val="10"/>
        <w:keepNext w:val="0"/>
        <w:keepLines w:val="0"/>
        <w:pageBreakBefore w:val="0"/>
        <w:widowControl/>
        <w:kinsoku/>
        <w:overflowPunct/>
        <w:topLinePunct w:val="0"/>
        <w:autoSpaceDN/>
        <w:bidi w:val="0"/>
        <w:spacing w:line="600" w:lineRule="exact"/>
        <w:textAlignment w:val="auto"/>
        <w:rPr>
          <w:rFonts w:ascii="仿宋_GB2312" w:hAnsi="ˎ̥" w:eastAsia="仿宋_GB2312" w:cs="仿宋_GB2312"/>
          <w:color w:val="auto"/>
          <w:sz w:val="32"/>
          <w:szCs w:val="32"/>
          <w:shd w:val="clear" w:color="auto" w:fill="FFFFFF"/>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5.09</w:t>
      </w:r>
      <w:r>
        <w:rPr>
          <w:rFonts w:hint="eastAsia" w:ascii="仿宋_GB2312" w:hAnsi="ˎ̥" w:eastAsia="仿宋_GB2312" w:cs="仿宋_GB2312"/>
          <w:color w:val="auto"/>
          <w:sz w:val="32"/>
          <w:szCs w:val="32"/>
          <w:shd w:val="clear" w:color="auto" w:fill="FFFFFF"/>
        </w:rPr>
        <w:t>万元，支出决算为3.43万元，完成年初预算的67.38%。决算数小于预算数的主要原因：</w:t>
      </w:r>
      <w:r>
        <w:rPr>
          <w:rFonts w:hint="eastAsia" w:ascii="仿宋_GB2312" w:hAnsi="黑体" w:eastAsia="仿宋_GB2312"/>
          <w:color w:val="auto"/>
          <w:sz w:val="32"/>
          <w:szCs w:val="32"/>
        </w:rPr>
        <w:t>主要是人员减少。</w:t>
      </w:r>
    </w:p>
    <w:p>
      <w:pPr>
        <w:keepNext w:val="0"/>
        <w:keepLines w:val="0"/>
        <w:pageBreakBefore w:val="0"/>
        <w:widowControl/>
        <w:numPr>
          <w:ilvl w:val="0"/>
          <w:numId w:val="4"/>
        </w:numPr>
        <w:kinsoku/>
        <w:overflowPunct/>
        <w:topLinePunct w:val="0"/>
        <w:autoSpaceDN/>
        <w:bidi w:val="0"/>
        <w:spacing w:line="600" w:lineRule="exact"/>
        <w:ind w:firstLine="643" w:firstLineChars="200"/>
        <w:textAlignment w:val="auto"/>
        <w:rPr>
          <w:rFonts w:hint="eastAsia" w:ascii="仿宋_GB2312" w:hAnsi="黑体" w:eastAsia="仿宋_GB2312"/>
          <w:b/>
          <w:bCs/>
          <w:color w:val="auto"/>
          <w:sz w:val="32"/>
          <w:szCs w:val="32"/>
        </w:rPr>
      </w:pPr>
      <w:r>
        <w:rPr>
          <w:rFonts w:hint="eastAsia" w:ascii="仿宋_GB2312" w:hAnsi="黑体" w:eastAsia="仿宋_GB2312"/>
          <w:b/>
          <w:bCs/>
          <w:color w:val="auto"/>
          <w:sz w:val="32"/>
          <w:szCs w:val="32"/>
        </w:rPr>
        <w:t>卫生健康（类）行政事业单位医疗（款）行政单位医疗（项）。</w:t>
      </w:r>
    </w:p>
    <w:p>
      <w:pPr>
        <w:keepNext w:val="0"/>
        <w:keepLines w:val="0"/>
        <w:pageBreakBefore w:val="0"/>
        <w:widowControl/>
        <w:kinsoku/>
        <w:overflowPunct/>
        <w:topLinePunct w:val="0"/>
        <w:autoSpaceDN/>
        <w:bidi w:val="0"/>
        <w:spacing w:line="600" w:lineRule="exact"/>
        <w:ind w:firstLine="640" w:firstLineChars="200"/>
        <w:textAlignment w:val="auto"/>
        <w:rPr>
          <w:rFonts w:hint="eastAsia" w:ascii="仿宋_GB2312" w:hAnsi="黑体" w:eastAsia="仿宋_GB2312"/>
          <w:color w:val="auto"/>
          <w:sz w:val="32"/>
          <w:szCs w:val="32"/>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20.53</w:t>
      </w:r>
      <w:r>
        <w:rPr>
          <w:rFonts w:hint="eastAsia" w:ascii="仿宋_GB2312" w:hAnsi="ˎ̥" w:eastAsia="仿宋_GB2312" w:cs="仿宋_GB2312"/>
          <w:color w:val="auto"/>
          <w:sz w:val="32"/>
          <w:szCs w:val="32"/>
          <w:shd w:val="clear" w:color="auto" w:fill="FFFFFF"/>
        </w:rPr>
        <w:t>万元，支出决算为12.71万元，完成年初预算的61.91%。决算数小于预算数的主要原因：</w:t>
      </w:r>
      <w:r>
        <w:rPr>
          <w:rFonts w:hint="eastAsia" w:ascii="仿宋_GB2312" w:hAnsi="黑体" w:eastAsia="仿宋_GB2312"/>
          <w:color w:val="auto"/>
          <w:sz w:val="32"/>
          <w:szCs w:val="32"/>
        </w:rPr>
        <w:t>主要是人员减少</w:t>
      </w:r>
    </w:p>
    <w:p>
      <w:pPr>
        <w:pStyle w:val="10"/>
        <w:keepNext w:val="0"/>
        <w:keepLines w:val="0"/>
        <w:pageBreakBefore w:val="0"/>
        <w:widowControl/>
        <w:numPr>
          <w:ilvl w:val="0"/>
          <w:numId w:val="4"/>
        </w:numPr>
        <w:kinsoku/>
        <w:overflowPunct/>
        <w:topLinePunct w:val="0"/>
        <w:autoSpaceDN/>
        <w:bidi w:val="0"/>
        <w:spacing w:line="600" w:lineRule="exact"/>
        <w:ind w:firstLineChars="0"/>
        <w:textAlignment w:val="auto"/>
        <w:rPr>
          <w:rFonts w:hint="eastAsia" w:ascii="仿宋_GB2312" w:hAnsi="黑体" w:eastAsia="仿宋_GB2312"/>
          <w:color w:val="auto"/>
          <w:sz w:val="32"/>
          <w:szCs w:val="32"/>
        </w:rPr>
      </w:pPr>
      <w:r>
        <w:rPr>
          <w:rFonts w:hint="eastAsia" w:ascii="仿宋_GB2312" w:hAnsi="黑体" w:eastAsia="仿宋_GB2312"/>
          <w:b/>
          <w:bCs/>
          <w:color w:val="auto"/>
          <w:sz w:val="32"/>
          <w:szCs w:val="32"/>
        </w:rPr>
        <w:t xml:space="preserve"> 卫生健康（类）行政事业单位医疗（款）公务员医疗补助（项）。</w:t>
      </w:r>
      <w:r>
        <w:rPr>
          <w:rFonts w:hint="eastAsia" w:ascii="仿宋_GB2312" w:hAnsi="黑体" w:eastAsia="仿宋_GB2312"/>
          <w:color w:val="auto"/>
          <w:sz w:val="32"/>
          <w:szCs w:val="32"/>
        </w:rPr>
        <w:t xml:space="preserve"> </w:t>
      </w:r>
    </w:p>
    <w:p>
      <w:pPr>
        <w:keepNext w:val="0"/>
        <w:keepLines w:val="0"/>
        <w:pageBreakBefore w:val="0"/>
        <w:widowControl/>
        <w:kinsoku/>
        <w:overflowPunct/>
        <w:topLinePunct w:val="0"/>
        <w:autoSpaceDN/>
        <w:bidi w:val="0"/>
        <w:spacing w:line="600" w:lineRule="exact"/>
        <w:ind w:firstLine="640" w:firstLineChars="200"/>
        <w:textAlignment w:val="auto"/>
        <w:rPr>
          <w:rFonts w:hint="eastAsia" w:ascii="仿宋_GB2312" w:hAnsi="ˎ̥" w:eastAsia="仿宋_GB2312" w:cs="仿宋_GB2312"/>
          <w:b/>
          <w:color w:val="auto"/>
          <w:sz w:val="32"/>
          <w:szCs w:val="32"/>
          <w:shd w:val="clear" w:color="auto" w:fill="FFFFFF"/>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22.82</w:t>
      </w:r>
      <w:r>
        <w:rPr>
          <w:rFonts w:hint="eastAsia" w:ascii="仿宋_GB2312" w:hAnsi="ˎ̥" w:eastAsia="仿宋_GB2312" w:cs="仿宋_GB2312"/>
          <w:color w:val="auto"/>
          <w:sz w:val="32"/>
          <w:szCs w:val="32"/>
          <w:shd w:val="clear" w:color="auto" w:fill="FFFFFF"/>
        </w:rPr>
        <w:t>万元，支出决算为18.61万元，完成年初预算的81.55%。决算数小于预算数的主要原因：人员减少。</w:t>
      </w:r>
      <w:r>
        <w:rPr>
          <w:rFonts w:hint="eastAsia" w:ascii="仿宋_GB2312" w:hAnsi="黑体" w:eastAsia="仿宋_GB2312"/>
          <w:color w:val="auto"/>
          <w:sz w:val="32"/>
          <w:szCs w:val="32"/>
        </w:rPr>
        <w:t xml:space="preserve">     </w:t>
      </w:r>
    </w:p>
    <w:p>
      <w:pPr>
        <w:keepNext w:val="0"/>
        <w:keepLines w:val="0"/>
        <w:pageBreakBefore w:val="0"/>
        <w:widowControl/>
        <w:numPr>
          <w:ilvl w:val="0"/>
          <w:numId w:val="4"/>
        </w:numPr>
        <w:kinsoku/>
        <w:overflowPunct/>
        <w:topLinePunct w:val="0"/>
        <w:autoSpaceDN/>
        <w:bidi w:val="0"/>
        <w:spacing w:line="600" w:lineRule="exact"/>
        <w:ind w:firstLine="643" w:firstLineChars="200"/>
        <w:textAlignment w:val="auto"/>
        <w:rPr>
          <w:rFonts w:hint="eastAsia" w:ascii="仿宋_GB2312" w:hAnsi="黑体" w:eastAsia="仿宋_GB2312"/>
          <w:color w:val="auto"/>
          <w:sz w:val="32"/>
          <w:szCs w:val="32"/>
        </w:rPr>
      </w:pPr>
      <w:r>
        <w:rPr>
          <w:rFonts w:hint="eastAsia" w:ascii="仿宋_GB2312" w:hAnsi="黑体" w:eastAsia="仿宋_GB2312"/>
          <w:b/>
          <w:bCs/>
          <w:color w:val="auto"/>
          <w:sz w:val="32"/>
          <w:szCs w:val="32"/>
        </w:rPr>
        <w:t>卫生健康（类）行政事业单位医疗（款）其他行政事业单位医疗支出（项）。</w:t>
      </w:r>
    </w:p>
    <w:p>
      <w:pPr>
        <w:pStyle w:val="10"/>
        <w:keepNext w:val="0"/>
        <w:keepLines w:val="0"/>
        <w:pageBreakBefore w:val="0"/>
        <w:widowControl/>
        <w:kinsoku/>
        <w:overflowPunct/>
        <w:topLinePunct w:val="0"/>
        <w:autoSpaceDN/>
        <w:bidi w:val="0"/>
        <w:spacing w:line="600" w:lineRule="exact"/>
        <w:textAlignment w:val="auto"/>
        <w:rPr>
          <w:rFonts w:ascii="仿宋_GB2312" w:hAnsi="黑体" w:eastAsia="仿宋_GB2312"/>
          <w:color w:val="auto"/>
          <w:sz w:val="32"/>
          <w:szCs w:val="32"/>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0.9</w:t>
      </w:r>
      <w:r>
        <w:rPr>
          <w:rFonts w:hint="eastAsia" w:ascii="仿宋_GB2312" w:hAnsi="ˎ̥" w:eastAsia="仿宋_GB2312" w:cs="仿宋_GB2312"/>
          <w:color w:val="auto"/>
          <w:sz w:val="32"/>
          <w:szCs w:val="32"/>
          <w:shd w:val="clear" w:color="auto" w:fill="FFFFFF"/>
        </w:rPr>
        <w:t>万元，支出决算为0.9万元，完成年初预算的100%。决算数等于预算数。</w:t>
      </w:r>
    </w:p>
    <w:p>
      <w:pPr>
        <w:keepNext w:val="0"/>
        <w:keepLines w:val="0"/>
        <w:pageBreakBefore w:val="0"/>
        <w:widowControl/>
        <w:numPr>
          <w:ilvl w:val="0"/>
          <w:numId w:val="4"/>
        </w:numPr>
        <w:kinsoku/>
        <w:overflowPunct/>
        <w:topLinePunct w:val="0"/>
        <w:autoSpaceDN/>
        <w:bidi w:val="0"/>
        <w:spacing w:line="600" w:lineRule="exact"/>
        <w:ind w:firstLine="643" w:firstLineChars="200"/>
        <w:textAlignment w:val="auto"/>
        <w:rPr>
          <w:rFonts w:hint="eastAsia" w:ascii="仿宋_GB2312" w:hAnsi="ˎ̥" w:eastAsia="仿宋_GB2312" w:cs="仿宋_GB2312"/>
          <w:b/>
          <w:color w:val="auto"/>
          <w:sz w:val="32"/>
          <w:szCs w:val="32"/>
          <w:shd w:val="clear" w:color="auto" w:fill="FFFFFF"/>
        </w:rPr>
      </w:pPr>
      <w:r>
        <w:rPr>
          <w:rFonts w:hint="eastAsia" w:ascii="仿宋_GB2312" w:hAnsi="ˎ̥" w:eastAsia="仿宋_GB2312" w:cs="仿宋_GB2312"/>
          <w:b/>
          <w:color w:val="auto"/>
          <w:sz w:val="32"/>
          <w:szCs w:val="32"/>
          <w:shd w:val="clear" w:color="auto" w:fill="FFFFFF"/>
        </w:rPr>
        <w:t>住房保障（类）住房改革（款）住房公积金（项）。</w:t>
      </w:r>
    </w:p>
    <w:p>
      <w:pPr>
        <w:keepNext w:val="0"/>
        <w:keepLines w:val="0"/>
        <w:pageBreakBefore w:val="0"/>
        <w:widowControl/>
        <w:kinsoku/>
        <w:overflowPunct/>
        <w:topLinePunct w:val="0"/>
        <w:autoSpaceDN/>
        <w:bidi w:val="0"/>
        <w:spacing w:line="600" w:lineRule="exact"/>
        <w:ind w:firstLine="640" w:firstLineChars="200"/>
        <w:textAlignment w:val="auto"/>
        <w:rPr>
          <w:rFonts w:hint="eastAsia" w:ascii="仿宋_GB2312" w:hAnsi="ˎ̥" w:eastAsia="仿宋_GB2312" w:cs="仿宋_GB2312"/>
          <w:color w:val="auto"/>
          <w:sz w:val="32"/>
          <w:szCs w:val="32"/>
          <w:shd w:val="clear" w:color="auto" w:fill="FFFFFF"/>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27.38</w:t>
      </w:r>
      <w:r>
        <w:rPr>
          <w:rFonts w:hint="eastAsia" w:ascii="仿宋_GB2312" w:hAnsi="ˎ̥" w:eastAsia="仿宋_GB2312" w:cs="仿宋_GB2312"/>
          <w:color w:val="auto"/>
          <w:sz w:val="32"/>
          <w:szCs w:val="32"/>
          <w:shd w:val="clear" w:color="auto" w:fill="FFFFFF"/>
        </w:rPr>
        <w:t>万元，支出决算为26.73万元，完成年初预算的97.62%。决算数小于预算数的主要原因：人员减少。</w:t>
      </w:r>
    </w:p>
    <w:p>
      <w:pPr>
        <w:keepNext w:val="0"/>
        <w:keepLines w:val="0"/>
        <w:pageBreakBefore w:val="0"/>
        <w:widowControl/>
        <w:kinsoku/>
        <w:overflowPunct/>
        <w:topLinePunct w:val="0"/>
        <w:autoSpaceDN/>
        <w:bidi w:val="0"/>
        <w:spacing w:line="600" w:lineRule="exact"/>
        <w:ind w:firstLine="643" w:firstLineChars="200"/>
        <w:textAlignment w:val="auto"/>
        <w:rPr>
          <w:rFonts w:hint="eastAsia" w:ascii="仿宋_GB2312" w:hAnsi="ˎ̥" w:eastAsia="仿宋_GB2312" w:cs="仿宋_GB2312"/>
          <w:b/>
          <w:color w:val="auto"/>
          <w:sz w:val="32"/>
          <w:szCs w:val="32"/>
          <w:shd w:val="clear" w:color="auto" w:fill="FFFFFF"/>
        </w:rPr>
      </w:pPr>
      <w:r>
        <w:rPr>
          <w:rStyle w:val="11"/>
          <w:rFonts w:hint="default"/>
        </w:rPr>
        <w:t>9</w:t>
      </w:r>
      <w:r>
        <w:rPr>
          <w:rStyle w:val="11"/>
          <w:rFonts w:hint="eastAsia"/>
          <w:lang w:val="en-US" w:eastAsia="zh-Hans"/>
        </w:rPr>
        <w:t>.</w:t>
      </w:r>
      <w:r>
        <w:rPr>
          <w:rStyle w:val="11"/>
          <w:rFonts w:hint="eastAsia"/>
        </w:rPr>
        <w:t xml:space="preserve"> </w:t>
      </w:r>
      <w:r>
        <w:rPr>
          <w:rFonts w:hint="eastAsia" w:ascii="仿宋_GB2312" w:hAnsi="ˎ̥" w:eastAsia="仿宋_GB2312" w:cs="仿宋_GB2312"/>
          <w:b/>
          <w:color w:val="auto"/>
          <w:sz w:val="32"/>
          <w:szCs w:val="32"/>
          <w:shd w:val="clear" w:color="auto" w:fill="FFFFFF"/>
        </w:rPr>
        <w:t>住房保障（类）住房改革（款）购房补贴（项）。</w:t>
      </w:r>
    </w:p>
    <w:p>
      <w:pPr>
        <w:keepNext w:val="0"/>
        <w:keepLines w:val="0"/>
        <w:pageBreakBefore w:val="0"/>
        <w:widowControl/>
        <w:kinsoku/>
        <w:overflowPunct/>
        <w:topLinePunct w:val="0"/>
        <w:autoSpaceDN/>
        <w:bidi w:val="0"/>
        <w:spacing w:line="600" w:lineRule="exact"/>
        <w:ind w:firstLine="640" w:firstLineChars="200"/>
        <w:textAlignment w:val="auto"/>
        <w:rPr>
          <w:rFonts w:hint="eastAsia" w:ascii="仿宋_GB2312" w:hAnsi="ˎ̥" w:eastAsia="仿宋_GB2312" w:cs="仿宋_GB2312"/>
          <w:color w:val="auto"/>
          <w:sz w:val="32"/>
          <w:szCs w:val="32"/>
          <w:shd w:val="clear" w:color="auto" w:fill="FFFFFF"/>
        </w:rPr>
      </w:pPr>
      <w:r>
        <w:rPr>
          <w:rFonts w:hint="eastAsia" w:ascii="仿宋_GB2312" w:hAnsi="ˎ̥" w:eastAsia="仿宋_GB2312" w:cs="仿宋_GB2312"/>
          <w:color w:val="auto"/>
          <w:sz w:val="32"/>
          <w:szCs w:val="32"/>
          <w:shd w:val="clear" w:color="auto" w:fill="FFFFFF"/>
        </w:rPr>
        <w:t>年初预算为</w:t>
      </w:r>
      <w:r>
        <w:rPr>
          <w:rFonts w:hint="eastAsia" w:ascii="仿宋_GB2312" w:hAnsi="楷体" w:eastAsia="仿宋_GB2312"/>
          <w:color w:val="auto"/>
          <w:sz w:val="32"/>
          <w:szCs w:val="32"/>
        </w:rPr>
        <w:t>0</w:t>
      </w:r>
      <w:r>
        <w:rPr>
          <w:rFonts w:hint="eastAsia" w:ascii="仿宋_GB2312" w:hAnsi="ˎ̥" w:eastAsia="仿宋_GB2312" w:cs="仿宋_GB2312"/>
          <w:color w:val="auto"/>
          <w:sz w:val="32"/>
          <w:szCs w:val="32"/>
          <w:shd w:val="clear" w:color="auto" w:fill="FFFFFF"/>
        </w:rPr>
        <w:t>万元，支出决算为0.49万元，完成年初预算的100%。决算数大于预算数的主要原因：年初末做预算。</w:t>
      </w:r>
    </w:p>
    <w:p>
      <w:pPr>
        <w:keepNext w:val="0"/>
        <w:keepLines w:val="0"/>
        <w:pageBreakBefore w:val="0"/>
        <w:widowControl/>
        <w:kinsoku/>
        <w:overflowPunct/>
        <w:topLinePunct w:val="0"/>
        <w:autoSpaceDN/>
        <w:bidi w:val="0"/>
        <w:spacing w:line="600" w:lineRule="exact"/>
        <w:ind w:firstLine="643" w:firstLineChars="200"/>
        <w:textAlignment w:val="auto"/>
        <w:rPr>
          <w:rFonts w:hint="eastAsia" w:ascii="仿宋_GB2312" w:hAnsi="ˎ̥" w:eastAsia="仿宋_GB2312" w:cs="仿宋_GB2312"/>
          <w:b/>
          <w:color w:val="auto"/>
          <w:sz w:val="32"/>
          <w:szCs w:val="32"/>
          <w:shd w:val="clear" w:color="auto" w:fill="FFFFFF"/>
        </w:rPr>
      </w:pP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ascii="黑体" w:eastAsia="黑体"/>
          <w:color w:val="auto"/>
          <w:sz w:val="32"/>
          <w:szCs w:val="32"/>
          <w:shd w:val="clear" w:color="auto" w:fill="FFFFFF"/>
        </w:rPr>
      </w:pPr>
      <w:r>
        <w:rPr>
          <w:rFonts w:hint="eastAsia" w:ascii="黑体" w:hAnsi="黑体" w:eastAsia="黑体"/>
          <w:bCs/>
          <w:color w:val="auto"/>
          <w:sz w:val="32"/>
          <w:szCs w:val="32"/>
          <w:shd w:val="clear" w:color="auto" w:fill="FFFFFF"/>
        </w:rPr>
        <w:t>六、一般公共预算财政拨款基本支出决算情况说明。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财政拨款基本支出429.34万元，其中：人员经费370.95万元，主要包括：基本工资、津贴补贴、奖金、社会保障缴费、伙食费、伙食补助费、绩效工资、其他工资福利支出等、离休费、退休费、退职（役）费、抚恤金、生活补助、救济费、医疗费、助学金、奖励金、生产补贴、住房公积金、提租补贴、购房补贴、其他对个人和家庭的补助支出等。公用经费58.39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ascii="黑体" w:eastAsia="黑体"/>
          <w:bCs/>
          <w:color w:val="auto"/>
          <w:sz w:val="32"/>
          <w:szCs w:val="32"/>
          <w:shd w:val="clear" w:color="auto" w:fill="FFFFFF"/>
        </w:rPr>
      </w:pPr>
      <w:r>
        <w:rPr>
          <w:rFonts w:hint="eastAsia" w:ascii="黑体" w:hAnsi="黑体" w:eastAsia="黑体"/>
          <w:bCs/>
          <w:color w:val="auto"/>
          <w:sz w:val="32"/>
          <w:szCs w:val="32"/>
          <w:shd w:val="clear" w:color="auto" w:fill="FFFFFF"/>
        </w:rPr>
        <w:t>七、政府性基金预算财政拨款支出决算情况说明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color w:val="auto"/>
          <w:sz w:val="32"/>
          <w:szCs w:val="32"/>
          <w:shd w:val="clear" w:color="auto" w:fill="FFFFFF"/>
        </w:rPr>
      </w:pPr>
      <w:r>
        <w:rPr>
          <w:rFonts w:hint="eastAsia" w:ascii="楷体" w:hAnsi="楷体" w:eastAsia="楷体"/>
          <w:color w:val="auto"/>
          <w:sz w:val="32"/>
          <w:szCs w:val="32"/>
          <w:shd w:val="clear" w:color="auto" w:fill="FFFFFF"/>
        </w:rPr>
        <w:t>（一）政府性基金预算财政拨款支出决算总体情况。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2020年度政府性基金预算财政拨款支出0.00万元，占本年支出合计的0%。与2019年度相比，政府性基金预算财政拨款支出减少52368.55万元，下降100%，主要原因是</w:t>
      </w:r>
      <w:r>
        <w:rPr>
          <w:rFonts w:hint="eastAsia" w:ascii="ˎ̥" w:hAnsi="ˎ̥" w:eastAsia="仿宋_GB2312"/>
          <w:color w:val="auto"/>
          <w:sz w:val="32"/>
          <w:szCs w:val="32"/>
          <w:shd w:val="clear" w:color="auto" w:fill="FFFFFF"/>
        </w:rPr>
        <w:t>会展二期移交商务局</w:t>
      </w:r>
      <w:r>
        <w:rPr>
          <w:rFonts w:hint="eastAsia" w:ascii="仿宋_GB2312" w:hAnsi="ˎ̥" w:eastAsia="仿宋_GB2312"/>
          <w:color w:val="auto"/>
          <w:sz w:val="32"/>
          <w:szCs w:val="32"/>
          <w:shd w:val="clear" w:color="auto" w:fill="FFFFFF"/>
        </w:rPr>
        <w:t>。</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color w:val="auto"/>
          <w:sz w:val="32"/>
          <w:szCs w:val="32"/>
          <w:shd w:val="clear" w:color="auto" w:fill="FFFFFF"/>
        </w:rPr>
      </w:pPr>
      <w:r>
        <w:rPr>
          <w:rFonts w:hint="eastAsia" w:ascii="楷体" w:hAnsi="楷体" w:eastAsia="楷体"/>
          <w:color w:val="auto"/>
          <w:sz w:val="32"/>
          <w:szCs w:val="32"/>
          <w:shd w:val="clear" w:color="auto" w:fill="FFFFFF"/>
        </w:rPr>
        <w:t>（二）政府性基金预算财政拨款支出决算结构情况。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2020年度政府性基金预算财政拨款支出0.00万元。</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color w:val="auto"/>
          <w:sz w:val="32"/>
          <w:szCs w:val="32"/>
          <w:shd w:val="clear" w:color="auto" w:fill="FFFFFF"/>
        </w:rPr>
      </w:pPr>
      <w:r>
        <w:rPr>
          <w:rFonts w:hint="eastAsia" w:ascii="楷体" w:hAnsi="楷体" w:eastAsia="楷体"/>
          <w:color w:val="auto"/>
          <w:sz w:val="32"/>
          <w:szCs w:val="32"/>
          <w:shd w:val="clear" w:color="auto" w:fill="FFFFFF"/>
        </w:rPr>
        <w:t>（三）政府性基金预算财政拨款支出决算具体情况。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2020年度政府性基金预算财政拨款支出年初预算为0万元，支出决算为0万元，完成年初预算的0%。</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ascii="黑体" w:eastAsia="黑体"/>
          <w:bCs/>
          <w:color w:val="auto"/>
          <w:sz w:val="32"/>
          <w:szCs w:val="32"/>
          <w:shd w:val="clear" w:color="auto" w:fill="FFFFFF"/>
        </w:rPr>
      </w:pPr>
      <w:r>
        <w:rPr>
          <w:rFonts w:hint="eastAsia" w:ascii="黑体" w:hAnsi="黑体" w:eastAsia="黑体"/>
          <w:bCs/>
          <w:color w:val="auto"/>
          <w:sz w:val="32"/>
          <w:szCs w:val="32"/>
          <w:shd w:val="clear" w:color="auto" w:fill="FFFFFF"/>
        </w:rPr>
        <w:t>八、国有资本经营预算财政拨款支出决算情况说明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color w:val="auto"/>
          <w:sz w:val="32"/>
          <w:szCs w:val="32"/>
          <w:shd w:val="clear" w:color="auto" w:fill="FFFFFF"/>
        </w:rPr>
      </w:pPr>
      <w:r>
        <w:rPr>
          <w:rFonts w:hint="eastAsia" w:ascii="楷体" w:hAnsi="楷体" w:eastAsia="楷体"/>
          <w:color w:val="auto"/>
          <w:sz w:val="32"/>
          <w:szCs w:val="32"/>
          <w:shd w:val="clear" w:color="auto" w:fill="FFFFFF"/>
        </w:rPr>
        <w:t>（一）国有资本经营预算财政拨款支出决算总体情况。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2020年度国有资本经营预算财政拨款支出0.00万元，占本年支出合计的0%。与2019年度相比，国有资本经营预算财政拨款支出增加0万元，增长0%，主要原因是</w:t>
      </w:r>
      <w:r>
        <w:rPr>
          <w:rFonts w:hint="eastAsia" w:ascii="ˎ̥" w:hAnsi="ˎ̥" w:eastAsia="仿宋_GB2312"/>
          <w:color w:val="auto"/>
          <w:sz w:val="32"/>
          <w:szCs w:val="32"/>
          <w:shd w:val="clear" w:color="auto" w:fill="FFFFFF"/>
        </w:rPr>
        <w:t>无国有资本经营拨款支出</w:t>
      </w:r>
      <w:r>
        <w:rPr>
          <w:rFonts w:hint="eastAsia" w:ascii="仿宋_GB2312" w:hAnsi="ˎ̥" w:eastAsia="仿宋_GB2312"/>
          <w:color w:val="auto"/>
          <w:sz w:val="32"/>
          <w:szCs w:val="32"/>
          <w:shd w:val="clear" w:color="auto" w:fill="FFFFFF"/>
        </w:rPr>
        <w:t>。（2020年度国有资本经营预算收支首次公开，可选择不做上下年对比）</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color w:val="auto"/>
          <w:sz w:val="32"/>
          <w:szCs w:val="32"/>
          <w:shd w:val="clear" w:color="auto" w:fill="FFFFFF"/>
        </w:rPr>
      </w:pPr>
      <w:r>
        <w:rPr>
          <w:rFonts w:hint="eastAsia" w:ascii="楷体" w:hAnsi="楷体" w:eastAsia="楷体"/>
          <w:color w:val="auto"/>
          <w:sz w:val="32"/>
          <w:szCs w:val="32"/>
          <w:shd w:val="clear" w:color="auto" w:fill="FFFFFF"/>
        </w:rPr>
        <w:t>（二）国有资本经营预算财政拨款支出决算结构情况。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2020年度国有资本经营预算财政拨款支出0.00万元，支出决算为0.00万元，完成年初预算的0%。</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楷体" w:hAnsi="楷体" w:eastAsia="楷体"/>
          <w:color w:val="auto"/>
          <w:sz w:val="32"/>
          <w:szCs w:val="32"/>
          <w:shd w:val="clear" w:color="auto" w:fill="FFFFFF"/>
        </w:rPr>
      </w:pPr>
      <w:r>
        <w:rPr>
          <w:rFonts w:hint="eastAsia" w:ascii="楷体" w:hAnsi="楷体" w:eastAsia="楷体"/>
          <w:color w:val="auto"/>
          <w:sz w:val="32"/>
          <w:szCs w:val="32"/>
          <w:shd w:val="clear" w:color="auto" w:fill="FFFFFF"/>
        </w:rPr>
        <w:t>（三）国有资本经营预算财政拨款支出决算具体情况。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b/>
          <w:color w:val="auto"/>
          <w:sz w:val="32"/>
          <w:szCs w:val="32"/>
          <w:shd w:val="clear" w:color="auto" w:fill="FFFFFF"/>
        </w:rPr>
      </w:pPr>
      <w:r>
        <w:rPr>
          <w:rFonts w:hint="eastAsia" w:ascii="仿宋_GB2312" w:hAnsi="ˎ̥" w:eastAsia="仿宋_GB2312"/>
          <w:color w:val="auto"/>
          <w:sz w:val="32"/>
          <w:szCs w:val="32"/>
          <w:shd w:val="clear" w:color="auto" w:fill="FFFFFF"/>
        </w:rPr>
        <w:t>2020年度国有资本经营预算财政拨款支出年初预算为0万元，支出决算为0.00万元，完成年初预算的0%。</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hint="eastAsia" w:ascii="仿宋_GB2312" w:hAnsi="ˎ̥" w:eastAsia="楷体_GB2312"/>
          <w:color w:val="auto"/>
          <w:sz w:val="32"/>
          <w:szCs w:val="32"/>
          <w:shd w:val="clear" w:color="auto" w:fill="FFFFFF"/>
        </w:rPr>
      </w:pPr>
      <w:r>
        <w:rPr>
          <w:rFonts w:hint="eastAsia" w:ascii="黑体" w:hAnsi="黑体" w:eastAsia="黑体"/>
          <w:bCs/>
          <w:color w:val="auto"/>
          <w:sz w:val="32"/>
          <w:szCs w:val="32"/>
          <w:shd w:val="clear" w:color="auto" w:fill="FFFFFF"/>
        </w:rPr>
        <w:t>九、一般公共预算财政拨款</w:t>
      </w:r>
      <w:r>
        <w:rPr>
          <w:rFonts w:hint="eastAsia" w:ascii="黑体" w:eastAsia="黑体"/>
          <w:bCs/>
          <w:color w:val="auto"/>
          <w:sz w:val="32"/>
          <w:szCs w:val="32"/>
          <w:shd w:val="clear" w:color="auto" w:fill="FFFFFF"/>
        </w:rPr>
        <w:t>“三公”经费支出决算情况说明</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color w:val="auto"/>
          <w:sz w:val="32"/>
          <w:szCs w:val="32"/>
          <w:shd w:val="clear" w:color="auto" w:fill="FFFFFF"/>
        </w:rPr>
      </w:pPr>
      <w:r>
        <w:rPr>
          <w:rFonts w:hint="eastAsia" w:ascii="楷体" w:hAnsi="楷体" w:eastAsia="楷体"/>
          <w:b/>
          <w:color w:val="auto"/>
          <w:sz w:val="32"/>
          <w:szCs w:val="32"/>
          <w:shd w:val="clear" w:color="auto" w:fill="FFFFFF"/>
        </w:rPr>
        <w:t>（一）一般公共预算财政拨款“三公”经费支出决算总体情况说明。</w:t>
      </w:r>
    </w:p>
    <w:p>
      <w:pPr>
        <w:keepNext w:val="0"/>
        <w:keepLines w:val="0"/>
        <w:pageBreakBefore w:val="0"/>
        <w:widowControl/>
        <w:kinsoku/>
        <w:overflowPunct/>
        <w:topLinePunct w:val="0"/>
        <w:autoSpaceDN/>
        <w:bidi w:val="0"/>
        <w:spacing w:after="100" w:afterAutospacing="1" w:line="600" w:lineRule="exact"/>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 xml:space="preserve">    2020年度一般公共预算财政拨款</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三公</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经费支出预算为21.80万元，支出决算为2.25万元，完成预算的10.32%。</w:t>
      </w:r>
    </w:p>
    <w:p>
      <w:pPr>
        <w:keepNext w:val="0"/>
        <w:keepLines w:val="0"/>
        <w:pageBreakBefore w:val="0"/>
        <w:widowControl/>
        <w:kinsoku/>
        <w:overflowPunct/>
        <w:topLinePunct w:val="0"/>
        <w:autoSpaceDN/>
        <w:bidi w:val="0"/>
        <w:spacing w:after="100" w:afterAutospacing="1" w:line="600" w:lineRule="exact"/>
        <w:textAlignment w:val="auto"/>
        <w:rPr>
          <w:rFonts w:ascii="楷体" w:hAnsi="楷体" w:eastAsia="楷体"/>
          <w:b/>
          <w:bCs/>
          <w:color w:val="auto"/>
          <w:sz w:val="32"/>
          <w:szCs w:val="32"/>
          <w:shd w:val="clear" w:color="auto" w:fill="FFFFFF"/>
        </w:rPr>
      </w:pPr>
      <w:r>
        <w:rPr>
          <w:rFonts w:hint="eastAsia" w:ascii="楷体" w:hAnsi="楷体" w:eastAsia="楷体"/>
          <w:b/>
          <w:bCs/>
          <w:color w:val="auto"/>
          <w:sz w:val="32"/>
          <w:szCs w:val="32"/>
          <w:shd w:val="clear" w:color="auto" w:fill="FFFFFF"/>
        </w:rPr>
        <w:t xml:space="preserve">    （二）一般公共预算财政拨款“三公”经费支出决算具体情况说明。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2020年度一般公共预算财政拨款</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三公</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经费支出决算中，因公出国（境）费支出决算1.45万元，占64.44%；公务用车购置及运行费支出决算0.80万元，占35.56%；公务接待费支出决算0.00万元，占0%。具体情况如下：</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b/>
          <w:color w:val="auto"/>
          <w:sz w:val="32"/>
          <w:szCs w:val="32"/>
          <w:shd w:val="clear" w:color="auto" w:fill="FFFFFF"/>
        </w:rPr>
        <w:t>1.因公出国（境）费</w:t>
      </w:r>
      <w:r>
        <w:rPr>
          <w:rFonts w:hint="eastAsia" w:ascii="仿宋_GB2312" w:hAnsi="ˎ̥" w:eastAsia="仿宋_GB2312"/>
          <w:color w:val="auto"/>
          <w:sz w:val="32"/>
          <w:szCs w:val="32"/>
          <w:shd w:val="clear" w:color="auto" w:fill="FFFFFF"/>
        </w:rPr>
        <w:t>支出1.45万元。全年安排因公出国（境）团组1个，因公出国（境）2人次。开支内容包括：</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王肃瑾、周伟支出1.45万元。主要用于参加澳门贸易投资博览会</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因公出国（境）费支出决算比预算数减少16.55万元，下降87.75%。主要原因是受疫情影响，出国团组减少。</w:t>
      </w:r>
    </w:p>
    <w:p>
      <w:pPr>
        <w:keepNext w:val="0"/>
        <w:keepLines w:val="0"/>
        <w:pageBreakBefore w:val="0"/>
        <w:widowControl/>
        <w:kinsoku/>
        <w:overflowPunct/>
        <w:topLinePunct w:val="0"/>
        <w:autoSpaceDN/>
        <w:bidi w:val="0"/>
        <w:spacing w:after="100" w:afterAutospacing="1" w:line="600" w:lineRule="exact"/>
        <w:textAlignment w:val="auto"/>
        <w:rPr>
          <w:rFonts w:hint="eastAsia" w:ascii="仿宋_GB2312" w:hAnsi="ˎ̥" w:eastAsia="仿宋_GB2312"/>
          <w:color w:val="auto"/>
          <w:sz w:val="32"/>
          <w:szCs w:val="32"/>
          <w:shd w:val="clear" w:color="auto" w:fill="FFFFFF"/>
        </w:rPr>
      </w:pPr>
      <w:r>
        <w:rPr>
          <w:rFonts w:hint="eastAsia" w:ascii="仿宋_GB2312" w:hAnsi="ˎ̥" w:eastAsia="仿宋_GB2312"/>
          <w:b/>
          <w:color w:val="auto"/>
          <w:sz w:val="32"/>
          <w:szCs w:val="32"/>
          <w:shd w:val="clear" w:color="auto" w:fill="FFFFFF"/>
        </w:rPr>
        <w:t xml:space="preserve">    2.公务用车购置及运行费支出</w:t>
      </w:r>
      <w:r>
        <w:rPr>
          <w:rFonts w:hint="eastAsia" w:ascii="仿宋_GB2312" w:hAnsi="ˎ̥" w:eastAsia="仿宋_GB2312"/>
          <w:color w:val="auto"/>
          <w:sz w:val="32"/>
          <w:szCs w:val="32"/>
          <w:shd w:val="clear" w:color="auto" w:fill="FFFFFF"/>
        </w:rPr>
        <w:t>0.80万元。其中：</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b/>
          <w:color w:val="auto"/>
          <w:sz w:val="32"/>
          <w:szCs w:val="32"/>
          <w:shd w:val="clear" w:color="auto" w:fill="FFFFFF"/>
        </w:rPr>
        <w:t>公务用车购置支出</w:t>
      </w:r>
      <w:r>
        <w:rPr>
          <w:rFonts w:hint="eastAsia" w:ascii="仿宋_GB2312" w:hAnsi="ˎ̥" w:eastAsia="仿宋_GB2312"/>
          <w:color w:val="auto"/>
          <w:sz w:val="32"/>
          <w:szCs w:val="32"/>
          <w:shd w:val="clear" w:color="auto" w:fill="FFFFFF"/>
        </w:rPr>
        <w:t>0.00万元，</w:t>
      </w:r>
      <w:r>
        <w:rPr>
          <w:rFonts w:hint="eastAsia" w:ascii="仿宋_GB2312" w:hAnsi="ˎ̥" w:eastAsia="仿宋_GB2312"/>
          <w:b/>
          <w:color w:val="auto"/>
          <w:sz w:val="32"/>
          <w:szCs w:val="32"/>
          <w:shd w:val="clear" w:color="auto" w:fill="FFFFFF"/>
        </w:rPr>
        <w:t>公务用车运行维护费</w:t>
      </w:r>
      <w:r>
        <w:rPr>
          <w:rFonts w:hint="eastAsia" w:ascii="仿宋_GB2312" w:hAnsi="ˎ̥" w:eastAsia="仿宋_GB2312"/>
          <w:color w:val="auto"/>
          <w:sz w:val="32"/>
          <w:szCs w:val="32"/>
          <w:shd w:val="clear" w:color="auto" w:fill="FFFFFF"/>
        </w:rPr>
        <w:t>支出0.80万元，主要用于公务车的运行维护。</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bCs/>
          <w:color w:val="auto"/>
          <w:sz w:val="32"/>
          <w:szCs w:val="32"/>
          <w:shd w:val="clear" w:color="auto" w:fill="FFFFFF"/>
        </w:rPr>
      </w:pPr>
      <w:r>
        <w:rPr>
          <w:rFonts w:hint="eastAsia" w:ascii="仿宋_GB2312" w:hAnsi="ˎ̥" w:eastAsia="仿宋_GB2312"/>
          <w:bCs/>
          <w:color w:val="auto"/>
          <w:sz w:val="32"/>
          <w:szCs w:val="32"/>
          <w:shd w:val="clear" w:color="auto" w:fill="FFFFFF"/>
        </w:rPr>
        <w:t>公务用车购置及运行费支出决算数</w:t>
      </w:r>
      <w:r>
        <w:rPr>
          <w:rFonts w:hint="eastAsia" w:ascii="仿宋_GB2312" w:hAnsi="ˎ̥" w:eastAsia="仿宋_GB2312"/>
          <w:color w:val="auto"/>
          <w:sz w:val="32"/>
          <w:szCs w:val="32"/>
          <w:shd w:val="clear" w:color="auto" w:fill="FFFFFF"/>
        </w:rPr>
        <w:t>比预算数减少2.7万元，下降77.14%。主要原因是对公务用车严格把控。</w:t>
      </w:r>
    </w:p>
    <w:p>
      <w:pPr>
        <w:keepNext w:val="0"/>
        <w:keepLines w:val="0"/>
        <w:pageBreakBefore w:val="0"/>
        <w:widowControl/>
        <w:kinsoku/>
        <w:overflowPunct/>
        <w:topLinePunct w:val="0"/>
        <w:autoSpaceDN/>
        <w:bidi w:val="0"/>
        <w:spacing w:after="100" w:afterAutospacing="1" w:line="600" w:lineRule="exact"/>
        <w:textAlignment w:val="auto"/>
        <w:rPr>
          <w:rFonts w:hint="eastAsia" w:ascii="仿宋_GB2312" w:hAnsi="ˎ̥" w:eastAsia="仿宋_GB2312"/>
          <w:color w:val="auto"/>
          <w:sz w:val="32"/>
          <w:szCs w:val="32"/>
          <w:shd w:val="clear" w:color="auto" w:fill="FFFFFF"/>
        </w:rPr>
      </w:pPr>
      <w:r>
        <w:rPr>
          <w:rFonts w:hint="eastAsia" w:ascii="仿宋_GB2312" w:hAnsi="ˎ̥" w:eastAsia="仿宋_GB2312"/>
          <w:b/>
          <w:color w:val="auto"/>
          <w:sz w:val="32"/>
          <w:szCs w:val="32"/>
          <w:shd w:val="clear" w:color="auto" w:fill="FFFFFF"/>
        </w:rPr>
        <w:t xml:space="preserve">    3.公务接待费支出</w:t>
      </w:r>
      <w:r>
        <w:rPr>
          <w:rFonts w:hint="eastAsia" w:ascii="仿宋_GB2312" w:hAnsi="ˎ̥" w:eastAsia="仿宋_GB2312"/>
          <w:color w:val="auto"/>
          <w:sz w:val="32"/>
          <w:szCs w:val="32"/>
          <w:shd w:val="clear" w:color="auto" w:fill="FFFFFF"/>
        </w:rPr>
        <w:t>0.00万元，其中：</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国内接待费支出0万元，国（境）外接待费支出0万元，公务接待费支出决算数比预算数减少0.3万元，下降100%。主要原因是来访团组减少。</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hint="eastAsia" w:ascii="仿宋_GB2312" w:hAnsi="ˎ̥" w:eastAsia="楷体_GB2312"/>
          <w:color w:val="auto"/>
          <w:sz w:val="32"/>
          <w:szCs w:val="32"/>
          <w:shd w:val="clear" w:color="auto" w:fill="FFFFFF"/>
        </w:rPr>
      </w:pPr>
      <w:r>
        <w:rPr>
          <w:rFonts w:hint="eastAsia" w:ascii="黑体" w:hAnsi="黑体" w:eastAsia="黑体"/>
          <w:bCs/>
          <w:color w:val="auto"/>
          <w:sz w:val="32"/>
          <w:szCs w:val="32"/>
          <w:shd w:val="clear" w:color="auto" w:fill="FFFFFF"/>
        </w:rPr>
        <w:t>十、政府性基金预算财政拨款</w:t>
      </w:r>
      <w:r>
        <w:rPr>
          <w:rFonts w:hint="eastAsia" w:ascii="黑体" w:eastAsia="黑体"/>
          <w:bCs/>
          <w:color w:val="auto"/>
          <w:sz w:val="32"/>
          <w:szCs w:val="32"/>
          <w:shd w:val="clear" w:color="auto" w:fill="FFFFFF"/>
        </w:rPr>
        <w:t>“三公”经费支出决算情况说明</w:t>
      </w:r>
    </w:p>
    <w:p>
      <w:pPr>
        <w:keepNext w:val="0"/>
        <w:keepLines w:val="0"/>
        <w:pageBreakBefore w:val="0"/>
        <w:widowControl/>
        <w:kinsoku/>
        <w:overflowPunct/>
        <w:topLinePunct w:val="0"/>
        <w:autoSpaceDE w:val="0"/>
        <w:autoSpaceDN/>
        <w:bidi w:val="0"/>
        <w:spacing w:before="100" w:beforeAutospacing="1" w:line="600" w:lineRule="exact"/>
        <w:ind w:firstLine="640" w:firstLineChars="200"/>
        <w:textAlignment w:val="auto"/>
        <w:rPr>
          <w:color w:val="auto"/>
        </w:rPr>
      </w:pPr>
      <w:r>
        <w:rPr>
          <w:rFonts w:hint="eastAsia" w:ascii="仿宋_GB2312" w:hAnsi="ˎ̥" w:eastAsia="仿宋_GB2312"/>
          <w:color w:val="auto"/>
          <w:sz w:val="32"/>
          <w:szCs w:val="32"/>
          <w:shd w:val="clear" w:color="auto" w:fill="FFFFFF"/>
        </w:rPr>
        <w:t>2020</w:t>
      </w:r>
      <w:r>
        <w:rPr>
          <w:rFonts w:hint="eastAsia" w:ascii="仿宋_GB2312" w:hAnsi="微软雅黑" w:eastAsia="仿宋_GB2312"/>
          <w:color w:val="auto"/>
          <w:sz w:val="32"/>
          <w:szCs w:val="32"/>
          <w:shd w:val="clear" w:color="auto" w:fill="FFFFFF"/>
        </w:rPr>
        <w:t>年度政府性基金预算财政拨款</w:t>
      </w:r>
      <w:r>
        <w:rPr>
          <w:rFonts w:hint="eastAsia" w:ascii="微软雅黑" w:hAnsi="微软雅黑" w:eastAsia="微软雅黑"/>
          <w:color w:val="auto"/>
          <w:sz w:val="32"/>
          <w:szCs w:val="32"/>
          <w:shd w:val="clear" w:color="auto" w:fill="FFFFFF"/>
        </w:rPr>
        <w:t>“</w:t>
      </w:r>
      <w:r>
        <w:rPr>
          <w:rFonts w:hint="eastAsia" w:ascii="仿宋_GB2312" w:hAnsi="微软雅黑" w:eastAsia="仿宋_GB2312"/>
          <w:color w:val="auto"/>
          <w:sz w:val="32"/>
          <w:szCs w:val="32"/>
          <w:shd w:val="clear" w:color="auto" w:fill="FFFFFF"/>
        </w:rPr>
        <w:t>三公</w:t>
      </w:r>
      <w:r>
        <w:rPr>
          <w:rFonts w:hint="eastAsia" w:ascii="微软雅黑" w:hAnsi="微软雅黑" w:eastAsia="微软雅黑"/>
          <w:color w:val="auto"/>
          <w:sz w:val="32"/>
          <w:szCs w:val="32"/>
          <w:shd w:val="clear" w:color="auto" w:fill="FFFFFF"/>
        </w:rPr>
        <w:t>”</w:t>
      </w:r>
      <w:r>
        <w:rPr>
          <w:rFonts w:hint="eastAsia" w:ascii="仿宋_GB2312" w:hAnsi="微软雅黑" w:eastAsia="仿宋_GB2312"/>
          <w:color w:val="auto"/>
          <w:sz w:val="32"/>
          <w:szCs w:val="32"/>
          <w:shd w:val="clear" w:color="auto" w:fill="FFFFFF"/>
        </w:rPr>
        <w:t>经费支出合计0万元。其中：因公出国（境）费支出决算0万元，占0%；公务用车购置及运行费支出决算0万元，占0%；</w:t>
      </w:r>
      <w:r>
        <w:rPr>
          <w:rFonts w:hint="eastAsia" w:ascii="仿宋_GB2312" w:hAnsi="ˎ̥" w:eastAsia="仿宋_GB2312"/>
          <w:color w:val="auto"/>
          <w:kern w:val="2"/>
          <w:sz w:val="32"/>
          <w:szCs w:val="32"/>
          <w:shd w:val="clear" w:color="auto" w:fill="FFFFFF"/>
        </w:rPr>
        <w:t>公务接待费支出决算0万元，占0%。</w:t>
      </w:r>
    </w:p>
    <w:p>
      <w:pPr>
        <w:keepNext w:val="0"/>
        <w:keepLines w:val="0"/>
        <w:pageBreakBefore w:val="0"/>
        <w:widowControl/>
        <w:kinsoku/>
        <w:overflowPunct/>
        <w:topLinePunct w:val="0"/>
        <w:autoSpaceDN/>
        <w:bidi w:val="0"/>
        <w:spacing w:after="100" w:afterAutospacing="1" w:line="600" w:lineRule="exact"/>
        <w:ind w:firstLine="627" w:firstLineChars="196"/>
        <w:textAlignment w:val="auto"/>
        <w:rPr>
          <w:rFonts w:hint="eastAsia" w:ascii="仿宋_GB2312" w:hAnsi="ˎ̥" w:eastAsia="楷体_GB2312"/>
          <w:color w:val="auto"/>
          <w:sz w:val="32"/>
          <w:szCs w:val="32"/>
          <w:shd w:val="clear" w:color="auto" w:fill="FFFFFF"/>
        </w:rPr>
      </w:pPr>
      <w:r>
        <w:rPr>
          <w:rFonts w:hint="eastAsia" w:ascii="黑体" w:hAnsi="黑体" w:eastAsia="黑体"/>
          <w:bCs/>
          <w:color w:val="auto"/>
          <w:sz w:val="32"/>
          <w:szCs w:val="32"/>
          <w:shd w:val="clear" w:color="auto" w:fill="FFFFFF"/>
        </w:rPr>
        <w:t>十一、国有资本经营预算财政拨款</w:t>
      </w:r>
      <w:r>
        <w:rPr>
          <w:rFonts w:hint="eastAsia" w:ascii="黑体" w:eastAsia="黑体"/>
          <w:bCs/>
          <w:color w:val="auto"/>
          <w:sz w:val="32"/>
          <w:szCs w:val="32"/>
          <w:shd w:val="clear" w:color="auto" w:fill="FFFFFF"/>
        </w:rPr>
        <w:t>“三公”经费支出决算情况说明</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2020年度国有资本经营预算财政拨款</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三公</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经费支出合计0.00万元。其中：因公出国（境）费支出决算0.00万元，占0%；公务用车购置及运行费支出决算0.00万元，占0%；公务接待费支出决算0.00万元，占0%。</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十二、预算绩效情况说明。</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b/>
          <w:color w:val="auto"/>
          <w:sz w:val="32"/>
          <w:szCs w:val="32"/>
          <w:shd w:val="clear" w:color="auto" w:fill="FFFFFF"/>
        </w:rPr>
      </w:pPr>
      <w:r>
        <w:rPr>
          <w:rFonts w:hint="eastAsia" w:ascii="楷体" w:hAnsi="楷体" w:eastAsia="楷体"/>
          <w:b/>
          <w:color w:val="auto"/>
          <w:sz w:val="32"/>
          <w:szCs w:val="32"/>
          <w:shd w:val="clear" w:color="auto" w:fill="FFFFFF"/>
        </w:rPr>
        <w:t>（一）绩效管理工作开展情况。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根据财政预算管理要求，我贸促会组织对2020年度一般公共预算项目支出全面开展绩效自评。自评项目1个，共涉及资金14.484万元，自评覆盖率达到100%。</w:t>
      </w:r>
    </w:p>
    <w:p>
      <w:pPr>
        <w:pStyle w:val="10"/>
        <w:keepNext w:val="0"/>
        <w:keepLines w:val="0"/>
        <w:pageBreakBefore w:val="0"/>
        <w:widowControl/>
        <w:numPr>
          <w:ilvl w:val="0"/>
          <w:numId w:val="0"/>
        </w:numPr>
        <w:kinsoku/>
        <w:overflowPunct/>
        <w:topLinePunct w:val="0"/>
        <w:autoSpaceDN/>
        <w:bidi w:val="0"/>
        <w:spacing w:line="600" w:lineRule="exact"/>
        <w:ind w:firstLine="640" w:firstLineChars="200"/>
        <w:textAlignment w:val="auto"/>
        <w:outlineLvl w:val="0"/>
        <w:rPr>
          <w:rFonts w:hint="eastAsia" w:ascii="仿宋_GB2312" w:hAnsi="宋体" w:eastAsia="仿宋_GB2312" w:cs="宋体"/>
          <w:color w:val="auto"/>
          <w:sz w:val="32"/>
          <w:szCs w:val="32"/>
          <w:shd w:val="clear" w:color="auto" w:fill="FFFFFF"/>
          <w:lang w:val="en-US" w:eastAsia="zh-CN" w:bidi="ar-SA"/>
        </w:rPr>
      </w:pPr>
      <w:r>
        <w:rPr>
          <w:rFonts w:hint="eastAsia" w:ascii="仿宋_GB2312" w:hAnsi="宋体" w:eastAsia="仿宋_GB2312" w:cs="宋体"/>
          <w:color w:val="auto"/>
          <w:sz w:val="32"/>
          <w:szCs w:val="32"/>
          <w:shd w:val="clear" w:color="auto" w:fill="FFFFFF"/>
          <w:lang w:val="en-US" w:eastAsia="zh-CN" w:bidi="ar-SA"/>
        </w:rPr>
        <w:t>共组织对“贸促工作”等1个项目开展了部门评价，涉及资金14.484万元。从评价情况来看，2020年我会牵头组织的贸促工作专项经费项目在目标设定、决策过程、资金分配、资金到位、资金管理、组织实施、项目效果等方面落实情况较好，总自评分94分，评价等次为优秀。</w:t>
      </w:r>
    </w:p>
    <w:p>
      <w:pPr>
        <w:keepNext w:val="0"/>
        <w:keepLines w:val="0"/>
        <w:pageBreakBefore w:val="0"/>
        <w:widowControl/>
        <w:kinsoku/>
        <w:overflowPunct/>
        <w:topLinePunct w:val="0"/>
        <w:autoSpaceDN/>
        <w:bidi w:val="0"/>
        <w:spacing w:line="600" w:lineRule="exact"/>
        <w:ind w:firstLine="640" w:firstLineChars="200"/>
        <w:textAlignment w:val="auto"/>
        <w:outlineLvl w:val="0"/>
        <w:rPr>
          <w:rFonts w:ascii="仿宋_GB2312" w:eastAsia="仿宋_GB2312"/>
          <w:b/>
          <w:bCs/>
          <w:color w:val="auto"/>
          <w:sz w:val="52"/>
          <w:szCs w:val="52"/>
          <w:shd w:val="clear" w:color="auto" w:fill="FFFFFF"/>
        </w:rPr>
      </w:pPr>
      <w:r>
        <w:rPr>
          <w:rFonts w:hint="eastAsia" w:ascii="仿宋_GB2312" w:hAnsi="微软雅黑" w:eastAsia="仿宋_GB2312"/>
          <w:b w:val="0"/>
          <w:bCs w:val="0"/>
          <w:color w:val="auto"/>
          <w:kern w:val="2"/>
          <w:sz w:val="32"/>
          <w:szCs w:val="32"/>
          <w:shd w:val="clear" w:color="auto" w:fill="FFFFFF"/>
        </w:rPr>
        <w:t>我部门开展整体支出绩效评价，涉及资金14.484万元。从评价情况来看，</w:t>
      </w:r>
      <w:r>
        <w:rPr>
          <w:rFonts w:hint="eastAsia" w:ascii="仿宋_GB2312" w:eastAsia="仿宋_GB2312"/>
          <w:b w:val="0"/>
          <w:bCs w:val="0"/>
          <w:color w:val="auto"/>
          <w:sz w:val="32"/>
          <w:szCs w:val="32"/>
        </w:rPr>
        <w:t>根据年初确定的工作目标，项目实施顺利，资源配置合理，项目控制管理规范，确保了整个项目质量，项目完成质量较好，贸促会官方网站投入运营以来，积极宣传海南建设自由贸易港的相关优惠政策，及时向企业提供经贸信息，开展招商引资活动，对经济和社会产生积极影响。</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b/>
          <w:color w:val="auto"/>
          <w:sz w:val="32"/>
          <w:szCs w:val="32"/>
          <w:shd w:val="clear" w:color="auto" w:fill="FFFFFF"/>
        </w:rPr>
      </w:pPr>
      <w:r>
        <w:rPr>
          <w:rFonts w:hint="eastAsia" w:ascii="楷体" w:hAnsi="楷体" w:eastAsia="楷体"/>
          <w:b/>
          <w:color w:val="auto"/>
          <w:sz w:val="32"/>
          <w:szCs w:val="32"/>
          <w:shd w:val="clear" w:color="auto" w:fill="FFFFFF"/>
        </w:rPr>
        <w:t>（二）部门决算中项目绩效自评结果。</w:t>
      </w:r>
    </w:p>
    <w:p>
      <w:pPr>
        <w:keepNext w:val="0"/>
        <w:keepLines w:val="0"/>
        <w:pageBreakBefore w:val="0"/>
        <w:widowControl/>
        <w:kinsoku/>
        <w:overflowPunct/>
        <w:topLinePunct w:val="0"/>
        <w:autoSpaceDN/>
        <w:bidi w:val="0"/>
        <w:spacing w:line="600" w:lineRule="exact"/>
        <w:ind w:firstLine="640" w:firstLineChars="200"/>
        <w:textAlignment w:val="auto"/>
        <w:outlineLvl w:val="0"/>
        <w:rPr>
          <w:rFonts w:hint="eastAsia" w:ascii="仿宋_GB2312" w:hAnsi="仿宋_GB2312" w:eastAsia="仿宋_GB2312" w:cs="仿宋_GB2312"/>
          <w:bCs/>
          <w:color w:val="auto"/>
          <w:sz w:val="32"/>
          <w:szCs w:val="32"/>
        </w:rPr>
      </w:pPr>
      <w:r>
        <w:rPr>
          <w:rFonts w:hint="eastAsia" w:ascii="仿宋_GB2312" w:eastAsia="仿宋_GB2312"/>
          <w:color w:val="auto"/>
          <w:sz w:val="32"/>
          <w:szCs w:val="32"/>
          <w:shd w:val="clear" w:color="auto" w:fill="FFFFFF"/>
        </w:rPr>
        <w:t>贸促工作项目绩效自评综述：根据年初设定的绩效目标，项目自评得分为94分。全年预算数为</w:t>
      </w:r>
      <w:r>
        <w:rPr>
          <w:rFonts w:hint="eastAsia" w:ascii="仿宋_GB2312" w:eastAsia="仿宋_GB2312"/>
          <w:bCs/>
          <w:color w:val="auto"/>
          <w:sz w:val="32"/>
          <w:szCs w:val="32"/>
        </w:rPr>
        <w:t>15.0</w:t>
      </w:r>
      <w:r>
        <w:rPr>
          <w:rFonts w:hint="eastAsia" w:ascii="仿宋_GB2312" w:eastAsia="仿宋_GB2312"/>
          <w:color w:val="auto"/>
          <w:sz w:val="32"/>
          <w:szCs w:val="32"/>
          <w:shd w:val="clear" w:color="auto" w:fill="FFFFFF"/>
        </w:rPr>
        <w:t>万元，执行数为14.484万元，完成预算的</w:t>
      </w:r>
      <w:r>
        <w:rPr>
          <w:rFonts w:hint="eastAsia" w:ascii="仿宋_GB2312" w:eastAsia="仿宋_GB2312"/>
          <w:color w:val="auto"/>
          <w:sz w:val="32"/>
          <w:szCs w:val="32"/>
        </w:rPr>
        <w:t>96.56</w:t>
      </w:r>
      <w:r>
        <w:rPr>
          <w:rFonts w:hint="eastAsia" w:ascii="仿宋_GB2312" w:eastAsia="仿宋_GB2312"/>
          <w:color w:val="auto"/>
          <w:sz w:val="32"/>
          <w:szCs w:val="32"/>
          <w:shd w:val="clear" w:color="auto" w:fill="FFFFFF"/>
        </w:rPr>
        <w:t>%。项目绩效目标完成情况：</w:t>
      </w:r>
      <w:r>
        <w:rPr>
          <w:rFonts w:hint="eastAsia" w:ascii="仿宋_GB2312" w:hAnsi="仿宋_GB2312" w:eastAsia="仿宋_GB2312" w:cs="仿宋_GB2312"/>
          <w:bCs/>
          <w:color w:val="auto"/>
          <w:sz w:val="32"/>
          <w:szCs w:val="32"/>
        </w:rPr>
        <w:t>海口市贸促会贸促工作专项经费，是为保证单位开展职能工作，加强与服务企业沟通，对外开展招商引资，宣传海口营商环境，向企业提供经贸信息，同时，改善单位工作人员办公设备的专项资金项目。大力宣传海南建设自由贸易港的优惠政策和海口营商环境，向相关企业提供经贸信息，开展招商引资活动，争取引进更多企业落户海口。</w:t>
      </w:r>
    </w:p>
    <w:p>
      <w:pPr>
        <w:keepNext w:val="0"/>
        <w:keepLines w:val="0"/>
        <w:pageBreakBefore w:val="0"/>
        <w:widowControl/>
        <w:kinsoku/>
        <w:overflowPunct/>
        <w:topLinePunct w:val="0"/>
        <w:autoSpaceDN/>
        <w:bidi w:val="0"/>
        <w:spacing w:line="600" w:lineRule="exact"/>
        <w:ind w:firstLine="640" w:firstLineChars="200"/>
        <w:textAlignment w:val="auto"/>
        <w:outlineLvl w:val="0"/>
        <w:rPr>
          <w:rFonts w:ascii="仿宋_GB2312" w:eastAsia="仿宋_GB2312"/>
          <w:b/>
          <w:bCs/>
          <w:color w:val="auto"/>
          <w:sz w:val="44"/>
          <w:szCs w:val="44"/>
          <w:shd w:val="clear" w:color="auto" w:fill="FFFFFF"/>
        </w:rPr>
      </w:pPr>
      <w:r>
        <w:rPr>
          <w:rFonts w:hint="eastAsia" w:ascii="仿宋_GB2312" w:eastAsia="仿宋_GB2312"/>
          <w:color w:val="auto"/>
          <w:sz w:val="32"/>
          <w:szCs w:val="32"/>
          <w:shd w:val="clear" w:color="auto" w:fill="FFFFFF"/>
        </w:rPr>
        <w:t>发现的主要</w:t>
      </w:r>
      <w:r>
        <w:rPr>
          <w:rFonts w:hint="eastAsia" w:ascii="仿宋_GB2312" w:hAnsi="仿宋_GB2312" w:eastAsia="仿宋_GB2312" w:cs="仿宋_GB2312"/>
          <w:bCs/>
          <w:color w:val="auto"/>
          <w:sz w:val="32"/>
          <w:szCs w:val="32"/>
        </w:rPr>
        <w:t>问题及原因：项目季度支付进度不平衡。下一步改进措施：编制上报部门季度支出任务指标，并按制定的季度任务指标执行,按月按季度及时完成支出进度，保证项目预算执行的均衡程度，提高季度支付进度率。</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b/>
          <w:color w:val="auto"/>
          <w:sz w:val="32"/>
          <w:szCs w:val="32"/>
          <w:shd w:val="clear" w:color="auto" w:fill="FFFFFF"/>
        </w:rPr>
      </w:pPr>
      <w:r>
        <w:rPr>
          <w:rFonts w:hint="eastAsia" w:ascii="楷体" w:hAnsi="楷体" w:eastAsia="楷体"/>
          <w:b/>
          <w:color w:val="auto"/>
          <w:sz w:val="32"/>
          <w:szCs w:val="32"/>
          <w:shd w:val="clear" w:color="auto" w:fill="FFFFFF"/>
        </w:rPr>
        <w:t>（三）财政评价项目绩效评价结果（无）。</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b/>
          <w:color w:val="auto"/>
          <w:sz w:val="32"/>
          <w:szCs w:val="32"/>
          <w:shd w:val="clear" w:color="auto" w:fill="FFFFFF"/>
        </w:rPr>
      </w:pPr>
      <w:r>
        <w:rPr>
          <w:rFonts w:hint="eastAsia" w:ascii="楷体" w:hAnsi="楷体" w:eastAsia="楷体"/>
          <w:b/>
          <w:color w:val="auto"/>
          <w:sz w:val="32"/>
          <w:szCs w:val="32"/>
          <w:shd w:val="clear" w:color="auto" w:fill="FFFFFF"/>
        </w:rPr>
        <w:t>（四）部门评价项目绩效评价结果。</w:t>
      </w:r>
    </w:p>
    <w:p>
      <w:pPr>
        <w:keepNext w:val="0"/>
        <w:keepLines w:val="0"/>
        <w:pageBreakBefore w:val="0"/>
        <w:widowControl/>
        <w:tabs>
          <w:tab w:val="left" w:pos="640"/>
        </w:tabs>
        <w:kinsoku/>
        <w:overflowPunct/>
        <w:topLinePunct w:val="0"/>
        <w:autoSpaceDN/>
        <w:bidi w:val="0"/>
        <w:spacing w:line="600" w:lineRule="exact"/>
        <w:ind w:firstLine="640" w:firstLineChars="200"/>
        <w:textAlignment w:val="auto"/>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根据年初确定的工作目标，项目实施顺利，资源配置合理，项目控制管理规范，确保了整个项目质量，项目完成质量较好。项目的实施促进提升了海口知名度，对海南建设自由贸易港政策的宣传，和海口营商环境的宣传，开展招商引资活动起到积极的作用。</w:t>
      </w:r>
    </w:p>
    <w:p>
      <w:pPr>
        <w:pStyle w:val="10"/>
        <w:keepNext w:val="0"/>
        <w:keepLines w:val="0"/>
        <w:pageBreakBefore w:val="0"/>
        <w:widowControl/>
        <w:numPr>
          <w:ilvl w:val="0"/>
          <w:numId w:val="5"/>
        </w:numPr>
        <w:kinsoku/>
        <w:overflowPunct/>
        <w:topLinePunct w:val="0"/>
        <w:autoSpaceDN/>
        <w:bidi w:val="0"/>
        <w:spacing w:line="600" w:lineRule="exact"/>
        <w:ind w:firstLineChars="0"/>
        <w:textAlignment w:val="auto"/>
        <w:outlineLvl w:val="0"/>
        <w:rPr>
          <w:rFonts w:ascii="仿宋_GB2312" w:eastAsia="仿宋_GB2312"/>
          <w:color w:val="auto"/>
          <w:sz w:val="32"/>
          <w:szCs w:val="32"/>
          <w:shd w:val="clear" w:color="auto" w:fill="FFFFFF"/>
        </w:rPr>
      </w:pPr>
      <w:r>
        <w:rPr>
          <w:rFonts w:hint="eastAsia" w:ascii="仿宋_GB2312" w:eastAsia="仿宋_GB2312"/>
          <w:color w:val="auto"/>
          <w:sz w:val="32"/>
          <w:szCs w:val="32"/>
          <w:shd w:val="clear" w:color="auto" w:fill="FFFFFF"/>
        </w:rPr>
        <w:t>总自评分94分，评价等次为优秀。</w:t>
      </w:r>
    </w:p>
    <w:p>
      <w:pPr>
        <w:keepNext w:val="0"/>
        <w:keepLines w:val="0"/>
        <w:pageBreakBefore w:val="0"/>
        <w:widowControl/>
        <w:tabs>
          <w:tab w:val="left" w:pos="640"/>
        </w:tabs>
        <w:kinsoku/>
        <w:overflowPunct/>
        <w:topLinePunct w:val="0"/>
        <w:autoSpaceDN/>
        <w:bidi w:val="0"/>
        <w:spacing w:line="600" w:lineRule="exact"/>
        <w:ind w:firstLine="640" w:firstLineChars="200"/>
        <w:textAlignment w:val="auto"/>
        <w:outlineLvl w:val="0"/>
        <w:rPr>
          <w:rFonts w:hint="eastAsia" w:ascii="仿宋_GB2312" w:hAnsi="仿宋_GB2312" w:eastAsia="仿宋_GB2312" w:cs="仿宋_GB2312"/>
          <w:bCs/>
          <w:color w:val="auto"/>
          <w:sz w:val="32"/>
          <w:szCs w:val="32"/>
        </w:rPr>
      </w:pP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ascii="黑体" w:eastAsia="黑体"/>
          <w:bCs/>
          <w:color w:val="auto"/>
          <w:sz w:val="32"/>
          <w:szCs w:val="32"/>
          <w:shd w:val="clear" w:color="auto" w:fill="FFFFFF"/>
        </w:rPr>
      </w:pPr>
      <w:r>
        <w:rPr>
          <w:rFonts w:hint="eastAsia" w:ascii="黑体" w:hAnsi="黑体" w:eastAsia="黑体"/>
          <w:bCs/>
          <w:color w:val="auto"/>
          <w:sz w:val="32"/>
          <w:szCs w:val="32"/>
          <w:shd w:val="clear" w:color="auto" w:fill="FFFFFF"/>
        </w:rPr>
        <w:t>十三、其他重要事项情况说明。</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b/>
          <w:color w:val="auto"/>
          <w:sz w:val="32"/>
          <w:szCs w:val="32"/>
          <w:shd w:val="clear" w:color="auto" w:fill="FFFFFF"/>
        </w:rPr>
      </w:pPr>
      <w:r>
        <w:rPr>
          <w:rFonts w:hint="eastAsia" w:ascii="楷体" w:hAnsi="楷体" w:eastAsia="楷体"/>
          <w:b/>
          <w:color w:val="auto"/>
          <w:sz w:val="32"/>
          <w:szCs w:val="32"/>
          <w:shd w:val="clear" w:color="auto" w:fill="FFFFFF"/>
        </w:rPr>
        <w:t>（一）机关运行经费支出情况。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贸促部门（单位）机关运行经费58.39万元（为部门决算中行政单位和参公事业单位使用一般公共预算财政拨款安排的基本支出中的日常公用经费支出，事业单位没有机关运行经费支出），比年初预算增加1.48万元，增长0.97%。主要原因是：办公经费增加。</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b/>
          <w:color w:val="auto"/>
          <w:sz w:val="32"/>
          <w:szCs w:val="32"/>
          <w:shd w:val="clear" w:color="auto" w:fill="FFFFFF"/>
        </w:rPr>
      </w:pPr>
      <w:r>
        <w:rPr>
          <w:rFonts w:hint="eastAsia" w:ascii="楷体" w:hAnsi="楷体" w:eastAsia="楷体"/>
          <w:b/>
          <w:color w:val="auto"/>
          <w:sz w:val="32"/>
          <w:szCs w:val="32"/>
          <w:shd w:val="clear" w:color="auto" w:fill="FFFFFF"/>
        </w:rPr>
        <w:t>（二）政府采购支出情况。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2020年度贸促部门（单位）政府采购支出总额0.52万元，其中：政府采购货物支出0.52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kinsoku/>
        <w:overflowPunct/>
        <w:topLinePunct w:val="0"/>
        <w:autoSpaceDN/>
        <w:bidi w:val="0"/>
        <w:spacing w:after="100" w:afterAutospacing="1" w:line="600" w:lineRule="exact"/>
        <w:ind w:firstLine="643" w:firstLineChars="200"/>
        <w:textAlignment w:val="auto"/>
        <w:rPr>
          <w:rFonts w:ascii="楷体" w:hAnsi="楷体" w:eastAsia="楷体"/>
          <w:b/>
          <w:color w:val="auto"/>
          <w:sz w:val="32"/>
          <w:szCs w:val="32"/>
          <w:shd w:val="clear" w:color="auto" w:fill="FFFFFF"/>
        </w:rPr>
      </w:pPr>
      <w:r>
        <w:rPr>
          <w:rFonts w:hint="eastAsia" w:ascii="楷体" w:hAnsi="楷体" w:eastAsia="楷体"/>
          <w:b/>
          <w:color w:val="auto"/>
          <w:sz w:val="32"/>
          <w:szCs w:val="32"/>
          <w:shd w:val="clear" w:color="auto" w:fill="FFFFFF"/>
        </w:rPr>
        <w:t>（三）国有资产占用情况。</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截至2020年12月31日，本部门占用房屋面积390平方米，其中：办公用房390平方米，业务用房0平方米，其他（不含构筑物）0平方米。</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本部门共有车辆1辆，其中：从车辆种类说明：轿车1辆、越野车0辆、小型载客汽车0辆、大中型载客汽车辆、其他车型0辆，从车辆使用情况说明：副部（省）级及以上领导用车0辆、主要领导干部用车0辆、机要通信用车1辆、应急保障用车0辆、执法执勤用车0辆、特种专业技术用车0辆、离退休干部用车0辆、其他用车0辆。</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单位价值50万元（含）以上通用设备0台（套），单价100万元（含）以上专用设备0台（套）。</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年末在建工程0万元。</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hAnsi="ˎ̥" w:eastAsia="黑体"/>
          <w:color w:val="auto"/>
          <w:sz w:val="32"/>
          <w:szCs w:val="32"/>
          <w:shd w:val="clear" w:color="auto" w:fill="FFFFFF"/>
        </w:rPr>
      </w:pPr>
      <w:r>
        <w:rPr>
          <w:rFonts w:hint="eastAsia" w:ascii="黑体" w:hAnsi="黑体" w:eastAsia="黑体"/>
          <w:color w:val="auto"/>
          <w:sz w:val="32"/>
          <w:szCs w:val="32"/>
          <w:shd w:val="clear" w:color="auto" w:fill="FFFFFF"/>
        </w:rPr>
        <w:t>第四部分</w:t>
      </w:r>
      <w:r>
        <w:rPr>
          <w:rFonts w:hint="eastAsia" w:ascii="黑体" w:hAnsi="ˎ̥" w:eastAsia="黑体"/>
          <w:color w:val="auto"/>
          <w:sz w:val="32"/>
          <w:szCs w:val="32"/>
          <w:shd w:val="clear" w:color="auto" w:fill="FFFFFF"/>
        </w:rPr>
        <w:t xml:space="preserve">  </w:t>
      </w:r>
      <w:r>
        <w:rPr>
          <w:rFonts w:hint="eastAsia" w:ascii="黑体" w:hAnsi="黑体" w:eastAsia="黑体"/>
          <w:color w:val="auto"/>
          <w:sz w:val="32"/>
          <w:szCs w:val="32"/>
          <w:shd w:val="clear" w:color="auto" w:fill="FFFFFF"/>
        </w:rPr>
        <w:t>名词解释</w:t>
      </w:r>
    </w:p>
    <w:p>
      <w:pPr>
        <w:keepNext w:val="0"/>
        <w:keepLines w:val="0"/>
        <w:pageBreakBefore w:val="0"/>
        <w:widowControl/>
        <w:kinsoku/>
        <w:overflowPunct/>
        <w:topLinePunct w:val="0"/>
        <w:autoSpaceDN/>
        <w:bidi w:val="0"/>
        <w:spacing w:after="100" w:afterAutospacing="1" w:line="600" w:lineRule="exact"/>
        <w:jc w:val="center"/>
        <w:textAlignment w:val="auto"/>
        <w:rPr>
          <w:rFonts w:hint="eastAsia" w:ascii="黑体" w:hAnsi="ˎ̥" w:eastAsia="黑体"/>
          <w:color w:val="auto"/>
          <w:sz w:val="32"/>
          <w:szCs w:val="32"/>
          <w:shd w:val="clear" w:color="auto" w:fill="FFFFFF"/>
        </w:rPr>
      </w:pPr>
      <w:r>
        <w:rPr>
          <w:rFonts w:hint="eastAsia" w:ascii="黑体" w:hAnsi="ˎ̥" w:eastAsia="黑体"/>
          <w:color w:val="auto"/>
          <w:sz w:val="32"/>
          <w:szCs w:val="32"/>
          <w:shd w:val="clear" w:color="auto" w:fill="FFFFFF"/>
        </w:rPr>
        <w:t xml:space="preserve"> </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一、财政拨款收入：指本级财政当年拨付的资金。</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二、事业收入：指事业单位开展专业业务活动及辅助活动取得的收入。</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三、经营收入：指事业单位在专业业务活动及其辅助活动之外开展非独立核算经营活动取得的收入。</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四、其他收入：指除上述</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财政拨款收入</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事业收入</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经营收入</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等以外的收入。</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五、使用非财政拨款结余：指事业单位按照预算管理要求使用非财政拨款结余弥补收支差额的金额。</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六、年初结转和结余：指以前年度尚未完成、结转到本年按有关规定继续使用的资金。</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七、结余分配：指事业单位按规定提取的职工福利基金、事业基金和缴纳的所得税，以及建设单位按规定应交回的基本建设竣工项目结余资金。</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八、年末结转和结余：指本年度或以前年度预算安排、因客观条件发生变化无法按原计划实施，需要延迟到以后年度按有关规定继续使用的资金。</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九、基本支出：指为保障机构正常运转、完成日常工作任务而发生的人员支出和公用支出。</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十、项目支出：指在基本支出之外为完成特定行政任务和事业发展目标所发生的支出。</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十一、经营支出：指事业单位在专业业务活动及其辅助活动之外开展非独立核算经营活动发生的支出。</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十二、</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三公</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经费：纳入本级财政预决算管理的</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三公</w:t>
      </w:r>
      <w:r>
        <w:rPr>
          <w:rFonts w:ascii="ˎ̥" w:hAnsi="ˎ̥"/>
          <w:color w:val="auto"/>
          <w:sz w:val="32"/>
          <w:szCs w:val="32"/>
          <w:shd w:val="clear" w:color="auto" w:fill="FFFFFF"/>
        </w:rPr>
        <w:t>”</w:t>
      </w:r>
      <w:r>
        <w:rPr>
          <w:rFonts w:hint="eastAsia" w:ascii="仿宋_GB2312" w:hAnsi="ˎ̥" w:eastAsia="仿宋_GB2312"/>
          <w:color w:val="auto"/>
          <w:sz w:val="32"/>
          <w:szCs w:val="32"/>
          <w:shd w:val="clear" w:color="auto" w:fill="FFFFFF"/>
        </w:rPr>
        <w:t>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overflowPunct/>
        <w:topLinePunct w:val="0"/>
        <w:autoSpaceDN/>
        <w:bidi w:val="0"/>
        <w:spacing w:after="100" w:afterAutospacing="1" w:line="600" w:lineRule="exact"/>
        <w:ind w:firstLine="640" w:firstLineChars="200"/>
        <w:textAlignment w:val="auto"/>
        <w:rPr>
          <w:rFonts w:hint="eastAsia" w:ascii="仿宋_GB2312" w:hAnsi="ˎ̥" w:eastAsia="仿宋_GB2312"/>
          <w:color w:val="auto"/>
          <w:sz w:val="32"/>
          <w:szCs w:val="32"/>
          <w:shd w:val="clear" w:color="auto" w:fill="FFFFFF"/>
        </w:rPr>
      </w:pPr>
      <w:r>
        <w:rPr>
          <w:rFonts w:hint="eastAsia" w:ascii="仿宋_GB2312" w:hAnsi="ˎ̥" w:eastAsia="仿宋_GB2312"/>
          <w:color w:val="auto"/>
          <w:sz w:val="32"/>
          <w:szCs w:val="32"/>
          <w:shd w:val="clear" w:color="auto" w:fill="FFFFFF"/>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overflowPunct/>
        <w:topLinePunct w:val="0"/>
        <w:autoSpaceDN/>
        <w:bidi w:val="0"/>
        <w:spacing w:after="100" w:afterAutospacing="1" w:line="600" w:lineRule="exact"/>
        <w:ind w:firstLine="645"/>
        <w:textAlignment w:val="auto"/>
        <w:rPr>
          <w:rFonts w:hint="eastAsia" w:ascii="仿宋_GB2312" w:hAnsi="ˎ̥" w:eastAsia="仿宋_GB2312"/>
          <w:sz w:val="32"/>
          <w:szCs w:val="32"/>
          <w:shd w:val="clear" w:color="auto" w:fill="FFFFFF"/>
        </w:rPr>
      </w:pPr>
      <w:r>
        <w:rPr>
          <w:rFonts w:hint="eastAsia" w:ascii="仿宋_GB2312" w:hAnsi="ˎ̥" w:eastAsia="仿宋_GB2312"/>
          <w:sz w:val="32"/>
          <w:szCs w:val="32"/>
          <w:shd w:val="clear" w:color="auto" w:fill="FFFFFF"/>
        </w:rPr>
        <w:t>十四、（支出功能分类的名词解释，各部门（单位）根据实际支出情况填列，可参阅财政部印发的《2019年政府收支分类科目》）</w:t>
      </w:r>
    </w:p>
    <w:p>
      <w:pPr>
        <w:keepNext w:val="0"/>
        <w:keepLines w:val="0"/>
        <w:pageBreakBefore w:val="0"/>
        <w:widowControl/>
        <w:kinsoku/>
        <w:overflowPunct/>
        <w:topLinePunct w:val="0"/>
        <w:autoSpaceDN/>
        <w:bidi w:val="0"/>
        <w:spacing w:after="100" w:afterAutospacing="1" w:line="600" w:lineRule="exact"/>
        <w:textAlignment w:val="auto"/>
        <w:rPr>
          <w:rFonts w:hint="eastAsia" w:ascii="仿宋_GB2312" w:hAnsi="ˎ̥" w:eastAsia="仿宋_GB2312"/>
          <w:sz w:val="32"/>
          <w:szCs w:val="32"/>
          <w:shd w:val="clear" w:color="auto" w:fill="FFFFFF"/>
        </w:rPr>
      </w:pPr>
      <w:r>
        <w:rPr>
          <w:rFonts w:hint="eastAsia" w:ascii="仿宋_GB2312" w:hAnsi="ˎ̥" w:eastAsia="仿宋_GB2312"/>
          <w:sz w:val="32"/>
          <w:szCs w:val="32"/>
          <w:shd w:val="clear" w:color="auto" w:fill="FFFFFF"/>
        </w:rPr>
        <w:t>……</w:t>
      </w:r>
    </w:p>
    <w:p>
      <w:pPr>
        <w:keepNext w:val="0"/>
        <w:keepLines w:val="0"/>
        <w:pageBreakBefore w:val="0"/>
        <w:widowControl/>
        <w:kinsoku/>
        <w:overflowPunct/>
        <w:topLinePunct w:val="0"/>
        <w:autoSpaceDN/>
        <w:bidi w:val="0"/>
        <w:spacing w:line="600" w:lineRule="exact"/>
        <w:textAlignment w:val="auto"/>
      </w:pPr>
      <w:bookmarkStart w:id="0" w:name="_GoBack"/>
      <w:bookmarkEnd w:id="0"/>
    </w:p>
    <w:sectPr>
      <w:pgSz w:w="11915" w:h="1685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84166"/>
    <w:multiLevelType w:val="multilevel"/>
    <w:tmpl w:val="16784166"/>
    <w:lvl w:ilvl="0" w:tentative="0">
      <w:start w:val="1"/>
      <w:numFmt w:val="chineseCounting"/>
      <w:suff w:val="nothing"/>
      <w:lvlText w:val="%1、"/>
      <w:lvlJc w:val="left"/>
      <w:pPr>
        <w:tabs>
          <w:tab w:val="left" w:pos="0"/>
        </w:tabs>
        <w:ind w:left="0" w:firstLine="0"/>
      </w:pPr>
      <w:rPr>
        <w:rFonts w:hint="eastAsia" w:ascii="宋体" w:hAnsi="宋体" w:eastAsia="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20BE5031"/>
    <w:multiLevelType w:val="multilevel"/>
    <w:tmpl w:val="20BE5031"/>
    <w:lvl w:ilvl="0" w:tentative="0">
      <w:start w:val="2"/>
      <w:numFmt w:val="chineseCounting"/>
      <w:suff w:val="nothing"/>
      <w:lvlText w:val="（%1）"/>
      <w:lvlJc w:val="left"/>
      <w:pPr>
        <w:tabs>
          <w:tab w:val="left" w:pos="0"/>
        </w:tabs>
        <w:ind w:left="0" w:firstLine="0"/>
      </w:pPr>
      <w:rPr>
        <w:rFonts w:hint="eastAsia" w:ascii="宋体" w:hAnsi="宋体" w:eastAsia="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2CA30E33"/>
    <w:multiLevelType w:val="singleLevel"/>
    <w:tmpl w:val="2CA30E33"/>
    <w:lvl w:ilvl="0" w:tentative="0">
      <w:start w:val="1"/>
      <w:numFmt w:val="decimal"/>
      <w:lvlText w:val="%1."/>
      <w:lvlJc w:val="left"/>
      <w:pPr>
        <w:tabs>
          <w:tab w:val="left" w:pos="312"/>
        </w:tabs>
      </w:pPr>
    </w:lvl>
  </w:abstractNum>
  <w:abstractNum w:abstractNumId="3">
    <w:nsid w:val="3F032367"/>
    <w:multiLevelType w:val="multilevel"/>
    <w:tmpl w:val="3F032367"/>
    <w:lvl w:ilvl="0" w:tentative="0">
      <w:start w:val="1"/>
      <w:numFmt w:val="decimal"/>
      <w:lvlText w:val="%1."/>
      <w:lvlJc w:val="left"/>
      <w:pPr>
        <w:tabs>
          <w:tab w:val="left" w:pos="720"/>
        </w:tabs>
        <w:ind w:left="720" w:hanging="36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4">
    <w:nsid w:val="5FAE5036"/>
    <w:multiLevelType w:val="multilevel"/>
    <w:tmpl w:val="5FAE5036"/>
    <w:lvl w:ilvl="0" w:tentative="0">
      <w:start w:val="1"/>
      <w:numFmt w:val="bullet"/>
      <w:lvlText w:val=""/>
      <w:lvlJc w:val="left"/>
      <w:pPr>
        <w:ind w:left="1060" w:hanging="420"/>
      </w:pPr>
      <w:rPr>
        <w:rFonts w:hint="default" w:ascii="Wingdings" w:hAnsi="Wingdings"/>
      </w:rPr>
    </w:lvl>
    <w:lvl w:ilvl="1" w:tentative="0">
      <w:start w:val="1"/>
      <w:numFmt w:val="bullet"/>
      <w:lvlText w:val=""/>
      <w:lvlJc w:val="left"/>
      <w:pPr>
        <w:ind w:left="1480" w:hanging="420"/>
      </w:pPr>
      <w:rPr>
        <w:rFonts w:hint="default" w:ascii="Wingdings" w:hAnsi="Wingdings"/>
      </w:rPr>
    </w:lvl>
    <w:lvl w:ilvl="2" w:tentative="0">
      <w:start w:val="1"/>
      <w:numFmt w:val="bullet"/>
      <w:lvlText w:val=""/>
      <w:lvlJc w:val="left"/>
      <w:pPr>
        <w:ind w:left="1900" w:hanging="420"/>
      </w:pPr>
      <w:rPr>
        <w:rFonts w:hint="default" w:ascii="Wingdings" w:hAnsi="Wingdings"/>
      </w:rPr>
    </w:lvl>
    <w:lvl w:ilvl="3" w:tentative="0">
      <w:start w:val="1"/>
      <w:numFmt w:val="bullet"/>
      <w:lvlText w:val=""/>
      <w:lvlJc w:val="left"/>
      <w:pPr>
        <w:ind w:left="2320" w:hanging="420"/>
      </w:pPr>
      <w:rPr>
        <w:rFonts w:hint="default" w:ascii="Wingdings" w:hAnsi="Wingdings"/>
      </w:rPr>
    </w:lvl>
    <w:lvl w:ilvl="4" w:tentative="0">
      <w:start w:val="1"/>
      <w:numFmt w:val="bullet"/>
      <w:lvlText w:val=""/>
      <w:lvlJc w:val="left"/>
      <w:pPr>
        <w:ind w:left="2740" w:hanging="420"/>
      </w:pPr>
      <w:rPr>
        <w:rFonts w:hint="default" w:ascii="Wingdings" w:hAnsi="Wingdings"/>
      </w:rPr>
    </w:lvl>
    <w:lvl w:ilvl="5" w:tentative="0">
      <w:start w:val="1"/>
      <w:numFmt w:val="bullet"/>
      <w:lvlText w:val=""/>
      <w:lvlJc w:val="left"/>
      <w:pPr>
        <w:ind w:left="3160" w:hanging="420"/>
      </w:pPr>
      <w:rPr>
        <w:rFonts w:hint="default" w:ascii="Wingdings" w:hAnsi="Wingdings"/>
      </w:rPr>
    </w:lvl>
    <w:lvl w:ilvl="6" w:tentative="0">
      <w:start w:val="1"/>
      <w:numFmt w:val="bullet"/>
      <w:lvlText w:val=""/>
      <w:lvlJc w:val="left"/>
      <w:pPr>
        <w:ind w:left="3580" w:hanging="420"/>
      </w:pPr>
      <w:rPr>
        <w:rFonts w:hint="default" w:ascii="Wingdings" w:hAnsi="Wingdings"/>
      </w:rPr>
    </w:lvl>
    <w:lvl w:ilvl="7" w:tentative="0">
      <w:start w:val="1"/>
      <w:numFmt w:val="bullet"/>
      <w:lvlText w:val=""/>
      <w:lvlJc w:val="left"/>
      <w:pPr>
        <w:ind w:left="4000" w:hanging="420"/>
      </w:pPr>
      <w:rPr>
        <w:rFonts w:hint="default" w:ascii="Wingdings" w:hAnsi="Wingdings"/>
      </w:rPr>
    </w:lvl>
    <w:lvl w:ilvl="8" w:tentative="0">
      <w:start w:val="1"/>
      <w:numFmt w:val="bullet"/>
      <w:lvlText w:val=""/>
      <w:lvlJc w:val="left"/>
      <w:pPr>
        <w:ind w:left="4420" w:hanging="420"/>
      </w:pPr>
      <w:rPr>
        <w:rFonts w:hint="default" w:ascii="Wingdings" w:hAnsi="Wingding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79C"/>
    <w:rsid w:val="00083C94"/>
    <w:rsid w:val="002A4942"/>
    <w:rsid w:val="002B61B0"/>
    <w:rsid w:val="00307BC0"/>
    <w:rsid w:val="003260CF"/>
    <w:rsid w:val="003A4424"/>
    <w:rsid w:val="0049379C"/>
    <w:rsid w:val="005220C5"/>
    <w:rsid w:val="0053767A"/>
    <w:rsid w:val="00693666"/>
    <w:rsid w:val="00754E07"/>
    <w:rsid w:val="0076504E"/>
    <w:rsid w:val="007B662D"/>
    <w:rsid w:val="007F6E6B"/>
    <w:rsid w:val="009F1A92"/>
    <w:rsid w:val="00A542E8"/>
    <w:rsid w:val="00B01C54"/>
    <w:rsid w:val="00B979D5"/>
    <w:rsid w:val="00E33624"/>
    <w:rsid w:val="00E45D00"/>
    <w:rsid w:val="00ED10D7"/>
    <w:rsid w:val="11236BBA"/>
    <w:rsid w:val="12C656C2"/>
    <w:rsid w:val="2E436E03"/>
    <w:rsid w:val="31FF67BD"/>
    <w:rsid w:val="3E2D609F"/>
    <w:rsid w:val="4B729A1D"/>
    <w:rsid w:val="50E92BDA"/>
    <w:rsid w:val="5BFB4872"/>
    <w:rsid w:val="75475BDC"/>
    <w:rsid w:val="EFD72E49"/>
    <w:rsid w:val="F73BA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3"/>
    <w:basedOn w:val="1"/>
    <w:next w:val="1"/>
    <w:link w:val="1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普通(网站) Char"/>
    <w:basedOn w:val="1"/>
    <w:qFormat/>
    <w:uiPriority w:val="0"/>
    <w:pPr>
      <w:spacing w:before="100" w:beforeAutospacing="1" w:after="100" w:afterAutospacing="1"/>
    </w:pPr>
  </w:style>
  <w:style w:type="character" w:customStyle="1" w:styleId="8">
    <w:name w:val="页眉 Char"/>
    <w:basedOn w:val="6"/>
    <w:link w:val="4"/>
    <w:semiHidden/>
    <w:qFormat/>
    <w:uiPriority w:val="99"/>
    <w:rPr>
      <w:rFonts w:ascii="宋体" w:hAnsi="宋体" w:eastAsia="宋体" w:cs="宋体"/>
      <w:sz w:val="18"/>
      <w:szCs w:val="18"/>
    </w:rPr>
  </w:style>
  <w:style w:type="character" w:customStyle="1" w:styleId="9">
    <w:name w:val="页脚 Char"/>
    <w:basedOn w:val="6"/>
    <w:link w:val="3"/>
    <w:semiHidden/>
    <w:uiPriority w:val="99"/>
    <w:rPr>
      <w:rFonts w:ascii="宋体" w:hAnsi="宋体" w:eastAsia="宋体" w:cs="宋体"/>
      <w:sz w:val="18"/>
      <w:szCs w:val="18"/>
    </w:rPr>
  </w:style>
  <w:style w:type="paragraph" w:customStyle="1" w:styleId="10">
    <w:name w:val="List Paragraph"/>
    <w:basedOn w:val="1"/>
    <w:unhideWhenUsed/>
    <w:qFormat/>
    <w:uiPriority w:val="99"/>
    <w:pPr>
      <w:ind w:firstLine="420" w:firstLineChars="200"/>
    </w:pPr>
  </w:style>
  <w:style w:type="character" w:customStyle="1" w:styleId="11">
    <w:name w:val="标题 3 Char"/>
    <w:link w:val="2"/>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系统天地官网</Company>
  <Pages>21</Pages>
  <Words>1202</Words>
  <Characters>6853</Characters>
  <Lines>57</Lines>
  <Paragraphs>16</Paragraphs>
  <TotalTime>3</TotalTime>
  <ScaleCrop>false</ScaleCrop>
  <LinksUpToDate>false</LinksUpToDate>
  <CharactersWithSpaces>8039</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2021-10-02T00:33:00Z</dcterms:created>
  <dc:creator>系统天地</dc:creator>
  <cp:lastModifiedBy>周伟</cp:lastModifiedBy>
  <cp:lastPrinted>2021-10-08T00:30:36Z</cp:lastPrinted>
  <dcterms:modified xsi:type="dcterms:W3CDTF">2021-10-08T00:30:50Z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7575EC6E282541ABAF69C9E57488512F</vt:lpwstr>
  </property>
</Properties>
</file>