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jc w:val="center"/>
        <w:tblInd w:w="223" w:type="dxa"/>
        <w:tblLayout w:type="fixed"/>
        <w:tblCellMar>
          <w:left w:w="0" w:type="dxa"/>
          <w:right w:w="0" w:type="dxa"/>
        </w:tblCellMar>
        <w:tblLook w:val="00A0"/>
      </w:tblPr>
      <w:tblGrid>
        <w:gridCol w:w="550"/>
        <w:gridCol w:w="1216"/>
        <w:gridCol w:w="5300"/>
        <w:gridCol w:w="1549"/>
        <w:gridCol w:w="4933"/>
        <w:gridCol w:w="852"/>
      </w:tblGrid>
      <w:tr w:rsidR="00077ADA">
        <w:trPr>
          <w:trHeight w:val="560"/>
          <w:jc w:val="center"/>
        </w:trPr>
        <w:tc>
          <w:tcPr>
            <w:tcW w:w="14400" w:type="dxa"/>
            <w:gridSpan w:val="6"/>
            <w:tcBorders>
              <w:top w:val="nil"/>
              <w:left w:val="nil"/>
              <w:bottom w:val="nil"/>
              <w:right w:val="nil"/>
            </w:tcBorders>
            <w:noWrap/>
            <w:tcMar>
              <w:top w:w="15" w:type="dxa"/>
              <w:left w:w="15" w:type="dxa"/>
              <w:right w:w="15" w:type="dxa"/>
            </w:tcMar>
            <w:vAlign w:val="center"/>
          </w:tcPr>
          <w:p w:rsidR="00141690" w:rsidRDefault="00077ADA" w:rsidP="00141690">
            <w:pPr>
              <w:widowControl/>
              <w:tabs>
                <w:tab w:val="left" w:pos="374"/>
                <w:tab w:val="center" w:pos="8257"/>
              </w:tabs>
              <w:spacing w:line="400" w:lineRule="exact"/>
              <w:textAlignment w:val="center"/>
              <w:rPr>
                <w:rFonts w:ascii="宋体" w:cs="宋体" w:hint="eastAsia"/>
                <w:color w:val="000000"/>
                <w:kern w:val="0"/>
                <w:sz w:val="36"/>
                <w:szCs w:val="36"/>
              </w:rPr>
            </w:pPr>
            <w:r w:rsidRPr="00141690">
              <w:rPr>
                <w:rFonts w:ascii="黑体" w:eastAsia="黑体" w:hAnsi="黑体" w:cs="宋体" w:hint="eastAsia"/>
                <w:color w:val="000000"/>
                <w:kern w:val="0"/>
                <w:sz w:val="32"/>
                <w:szCs w:val="32"/>
              </w:rPr>
              <w:t>附件</w:t>
            </w:r>
            <w:r w:rsidRPr="00141690">
              <w:rPr>
                <w:rFonts w:ascii="黑体" w:eastAsia="黑体" w:hAnsi="黑体" w:cs="宋体"/>
                <w:color w:val="000000"/>
                <w:kern w:val="0"/>
                <w:sz w:val="32"/>
                <w:szCs w:val="32"/>
              </w:rPr>
              <w:t>2</w:t>
            </w:r>
            <w:r>
              <w:rPr>
                <w:rFonts w:ascii="宋体" w:cs="宋体"/>
                <w:color w:val="000000"/>
                <w:kern w:val="0"/>
                <w:sz w:val="36"/>
                <w:szCs w:val="36"/>
              </w:rPr>
              <w:tab/>
            </w:r>
          </w:p>
          <w:p w:rsidR="00077ADA" w:rsidRPr="00141690" w:rsidRDefault="00077ADA" w:rsidP="00141690">
            <w:pPr>
              <w:widowControl/>
              <w:tabs>
                <w:tab w:val="left" w:pos="374"/>
                <w:tab w:val="center" w:pos="8257"/>
              </w:tabs>
              <w:spacing w:line="400" w:lineRule="exact"/>
              <w:jc w:val="center"/>
              <w:textAlignment w:val="center"/>
              <w:rPr>
                <w:rFonts w:ascii="华文中宋" w:eastAsia="华文中宋" w:hAnsi="华文中宋" w:cs="宋体"/>
                <w:color w:val="000000"/>
                <w:sz w:val="44"/>
                <w:szCs w:val="44"/>
              </w:rPr>
            </w:pPr>
            <w:r w:rsidRPr="00141690">
              <w:rPr>
                <w:rFonts w:ascii="华文中宋" w:eastAsia="华文中宋" w:hAnsi="华文中宋" w:cs="宋体" w:hint="eastAsia"/>
                <w:color w:val="000000"/>
                <w:kern w:val="0"/>
                <w:sz w:val="44"/>
                <w:szCs w:val="44"/>
              </w:rPr>
              <w:t>市行政办公区生活垃圾分类工作考核评价标准</w:t>
            </w:r>
          </w:p>
        </w:tc>
      </w:tr>
      <w:tr w:rsidR="00077ADA">
        <w:trPr>
          <w:trHeight w:val="516"/>
          <w:jc w:val="center"/>
        </w:trPr>
        <w:tc>
          <w:tcPr>
            <w:tcW w:w="14400" w:type="dxa"/>
            <w:gridSpan w:val="6"/>
            <w:tcBorders>
              <w:top w:val="nil"/>
              <w:left w:val="nil"/>
              <w:bottom w:val="nil"/>
              <w:right w:val="nil"/>
            </w:tcBorders>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填报单位（盖章）：</w:t>
            </w:r>
            <w:r>
              <w:rPr>
                <w:rFonts w:ascii="方正仿宋_GBK" w:eastAsia="方正仿宋_GBK" w:hAnsi="方正仿宋_GBK" w:cs="方正仿宋_GBK"/>
                <w:color w:val="000000"/>
                <w:kern w:val="0"/>
                <w:sz w:val="24"/>
              </w:rPr>
              <w:t xml:space="preserve">                                                                          </w:t>
            </w:r>
            <w:r>
              <w:rPr>
                <w:rFonts w:ascii="方正仿宋_GBK" w:eastAsia="方正仿宋_GBK" w:hAnsi="方正仿宋_GBK" w:cs="方正仿宋_GBK" w:hint="eastAsia"/>
                <w:color w:val="000000"/>
                <w:kern w:val="0"/>
                <w:sz w:val="24"/>
              </w:rPr>
              <w:t>得分</w:t>
            </w:r>
            <w:r>
              <w:rPr>
                <w:rFonts w:ascii="方正仿宋_GBK" w:eastAsia="方正仿宋_GBK" w:hAnsi="方正仿宋_GBK" w:cs="方正仿宋_GBK"/>
                <w:color w:val="000000"/>
                <w:kern w:val="0"/>
                <w:sz w:val="24"/>
              </w:rPr>
              <w:t>:</w:t>
            </w:r>
          </w:p>
        </w:tc>
      </w:tr>
      <w:tr w:rsidR="00077ADA">
        <w:trPr>
          <w:trHeight w:val="480"/>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序号</w:t>
            </w:r>
          </w:p>
        </w:tc>
        <w:tc>
          <w:tcPr>
            <w:tcW w:w="12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项目</w:t>
            </w: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内容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评分规则</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考核标准</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评分</w:t>
            </w:r>
          </w:p>
        </w:tc>
      </w:tr>
      <w:tr w:rsidR="00077ADA">
        <w:trPr>
          <w:trHeight w:val="460"/>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1</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制度建设</w:t>
            </w:r>
            <w:r>
              <w:rPr>
                <w:rFonts w:ascii="方正仿宋_GBK" w:eastAsia="方正仿宋_GBK" w:hAnsi="方正仿宋_GBK" w:cs="方正仿宋_GBK"/>
                <w:color w:val="000000"/>
                <w:kern w:val="0"/>
                <w:sz w:val="24"/>
              </w:rPr>
              <w:t xml:space="preserve">   </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(30</w:t>
            </w:r>
            <w:r>
              <w:rPr>
                <w:rFonts w:ascii="方正仿宋_GBK" w:eastAsia="方正仿宋_GBK" w:hAnsi="方正仿宋_GBK" w:cs="方正仿宋_GBK" w:hint="eastAsia"/>
                <w:color w:val="000000"/>
                <w:kern w:val="0"/>
                <w:sz w:val="24"/>
              </w:rPr>
              <w:t>分）</w:t>
            </w:r>
          </w:p>
        </w:tc>
        <w:tc>
          <w:tcPr>
            <w:tcW w:w="530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是否出台了本单位的生活垃圾分类实施方案。</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是得</w:t>
            </w:r>
            <w:r>
              <w:rPr>
                <w:rFonts w:ascii="方正仿宋_GBK" w:eastAsia="方正仿宋_GBK" w:hAnsi="方正仿宋_GBK" w:cs="方正仿宋_GBK"/>
                <w:color w:val="000000"/>
                <w:kern w:val="0"/>
                <w:sz w:val="24"/>
              </w:rPr>
              <w:t>10</w:t>
            </w:r>
            <w:r>
              <w:rPr>
                <w:rFonts w:ascii="方正仿宋_GBK" w:eastAsia="方正仿宋_GBK" w:hAnsi="方正仿宋_GBK" w:cs="方正仿宋_GBK" w:hint="eastAsia"/>
                <w:color w:val="000000"/>
                <w:kern w:val="0"/>
                <w:sz w:val="24"/>
              </w:rPr>
              <w:t>分，</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rPr>
              <w:t>否不得分</w:t>
            </w:r>
            <w:proofErr w:type="gramEnd"/>
            <w:r>
              <w:rPr>
                <w:rFonts w:ascii="方正仿宋_GBK" w:eastAsia="方正仿宋_GBK" w:hAnsi="方正仿宋_GBK" w:cs="方正仿宋_GBK" w:hint="eastAsia"/>
                <w:color w:val="000000"/>
                <w:kern w:val="0"/>
                <w:sz w:val="24"/>
              </w:rPr>
              <w:t>。</w:t>
            </w:r>
          </w:p>
        </w:tc>
        <w:tc>
          <w:tcPr>
            <w:tcW w:w="493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查看单位正式印发的文件。</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460"/>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530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c>
          <w:tcPr>
            <w:tcW w:w="15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493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90"/>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是否明确了本单位的生活垃圾分类工作管理部门和管理人员。</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是得</w:t>
            </w:r>
            <w:r>
              <w:rPr>
                <w:rFonts w:ascii="方正仿宋_GBK" w:eastAsia="方正仿宋_GBK" w:hAnsi="方正仿宋_GBK" w:cs="方正仿宋_GBK"/>
                <w:color w:val="000000"/>
                <w:kern w:val="0"/>
                <w:sz w:val="24"/>
              </w:rPr>
              <w:t>10</w:t>
            </w:r>
            <w:r>
              <w:rPr>
                <w:rFonts w:ascii="方正仿宋_GBK" w:eastAsia="方正仿宋_GBK" w:hAnsi="方正仿宋_GBK" w:cs="方正仿宋_GBK" w:hint="eastAsia"/>
                <w:color w:val="000000"/>
                <w:kern w:val="0"/>
                <w:sz w:val="24"/>
              </w:rPr>
              <w:t>分，</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rPr>
              <w:t>否不得分</w:t>
            </w:r>
            <w:proofErr w:type="gramEnd"/>
            <w:r>
              <w:rPr>
                <w:rFonts w:ascii="方正仿宋_GBK" w:eastAsia="方正仿宋_GBK" w:hAnsi="方正仿宋_GBK" w:cs="方正仿宋_GBK" w:hint="eastAsia"/>
                <w:color w:val="000000"/>
                <w:kern w:val="0"/>
                <w:sz w:val="24"/>
              </w:rPr>
              <w:t>。</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查看单位正式印发的成立领导小组，明确责任部门和人员的文件。</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811"/>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是否按照制定的实施方案在本单位开展了专项检查工作，对存在的问题进行整改并记录。</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是得</w:t>
            </w:r>
            <w:r>
              <w:rPr>
                <w:rFonts w:ascii="方正仿宋_GBK" w:eastAsia="方正仿宋_GBK" w:hAnsi="方正仿宋_GBK" w:cs="方正仿宋_GBK"/>
                <w:color w:val="000000"/>
                <w:kern w:val="0"/>
                <w:sz w:val="24"/>
              </w:rPr>
              <w:t>10</w:t>
            </w:r>
            <w:r>
              <w:rPr>
                <w:rFonts w:ascii="方正仿宋_GBK" w:eastAsia="方正仿宋_GBK" w:hAnsi="方正仿宋_GBK" w:cs="方正仿宋_GBK" w:hint="eastAsia"/>
                <w:color w:val="000000"/>
                <w:kern w:val="0"/>
                <w:sz w:val="24"/>
              </w:rPr>
              <w:t>分，</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rPr>
              <w:t>否不得分</w:t>
            </w:r>
            <w:proofErr w:type="gramEnd"/>
            <w:r>
              <w:rPr>
                <w:rFonts w:ascii="方正仿宋_GBK" w:eastAsia="方正仿宋_GBK" w:hAnsi="方正仿宋_GBK" w:cs="方正仿宋_GBK" w:hint="eastAsia"/>
                <w:color w:val="000000"/>
                <w:kern w:val="0"/>
                <w:sz w:val="24"/>
              </w:rPr>
              <w:t>。</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查看检查记录、整改措</w:t>
            </w:r>
            <w:bookmarkStart w:id="0" w:name="_GoBack"/>
            <w:bookmarkEnd w:id="0"/>
            <w:r>
              <w:rPr>
                <w:rFonts w:ascii="方正仿宋_GBK" w:eastAsia="方正仿宋_GBK" w:hAnsi="方正仿宋_GBK" w:cs="方正仿宋_GBK" w:hint="eastAsia"/>
                <w:color w:val="000000"/>
                <w:kern w:val="0"/>
                <w:sz w:val="24"/>
              </w:rPr>
              <w:t>施及反馈记录等资料、图片。</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500"/>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2</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宣传培训</w:t>
            </w:r>
            <w:r>
              <w:rPr>
                <w:rFonts w:ascii="方正仿宋_GBK" w:eastAsia="方正仿宋_GBK" w:hAnsi="方正仿宋_GBK" w:cs="方正仿宋_GBK"/>
                <w:color w:val="000000"/>
                <w:kern w:val="0"/>
                <w:sz w:val="24"/>
              </w:rPr>
              <w:t xml:space="preserve">   </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(20</w:t>
            </w:r>
            <w:r>
              <w:rPr>
                <w:rFonts w:ascii="方正仿宋_GBK" w:eastAsia="方正仿宋_GBK" w:hAnsi="方正仿宋_GBK" w:cs="方正仿宋_GBK" w:hint="eastAsia"/>
                <w:color w:val="000000"/>
                <w:kern w:val="0"/>
                <w:sz w:val="24"/>
              </w:rPr>
              <w:t>分）</w:t>
            </w: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本单位是否开展了生活垃圾分类的专项宣传工作。</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是得</w:t>
            </w:r>
            <w:r>
              <w:rPr>
                <w:rFonts w:ascii="方正仿宋_GBK" w:eastAsia="方正仿宋_GBK" w:hAnsi="方正仿宋_GBK" w:cs="方正仿宋_GBK"/>
                <w:color w:val="000000"/>
                <w:kern w:val="0"/>
                <w:sz w:val="24"/>
              </w:rPr>
              <w:t>10</w:t>
            </w:r>
            <w:r>
              <w:rPr>
                <w:rFonts w:ascii="方正仿宋_GBK" w:eastAsia="方正仿宋_GBK" w:hAnsi="方正仿宋_GBK" w:cs="方正仿宋_GBK" w:hint="eastAsia"/>
                <w:color w:val="000000"/>
                <w:kern w:val="0"/>
                <w:sz w:val="24"/>
              </w:rPr>
              <w:t>分，</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rPr>
              <w:t>否不得分</w:t>
            </w:r>
            <w:proofErr w:type="gramEnd"/>
            <w:r>
              <w:rPr>
                <w:rFonts w:ascii="方正仿宋_GBK" w:eastAsia="方正仿宋_GBK" w:hAnsi="方正仿宋_GBK" w:cs="方正仿宋_GBK" w:hint="eastAsia"/>
                <w:color w:val="000000"/>
                <w:kern w:val="0"/>
                <w:sz w:val="24"/>
              </w:rPr>
              <w:t>。</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查看宣传手册、宣传海报等资料、图片。</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720"/>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jc w:val="center"/>
              <w:rPr>
                <w:rFonts w:ascii="方正仿宋_GBK" w:eastAsia="方正仿宋_GBK" w:hAnsi="方正仿宋_GBK" w:cs="方正仿宋_GBK"/>
                <w:color w:val="000000"/>
                <w:sz w:val="24"/>
              </w:rPr>
            </w:pP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本单位是否进行垃圾分类相关知识培训。</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是得</w:t>
            </w:r>
            <w:r>
              <w:rPr>
                <w:rFonts w:ascii="方正仿宋_GBK" w:eastAsia="方正仿宋_GBK" w:hAnsi="方正仿宋_GBK" w:cs="方正仿宋_GBK"/>
                <w:color w:val="000000"/>
                <w:kern w:val="0"/>
                <w:sz w:val="24"/>
              </w:rPr>
              <w:t>10</w:t>
            </w:r>
            <w:r>
              <w:rPr>
                <w:rFonts w:ascii="方正仿宋_GBK" w:eastAsia="方正仿宋_GBK" w:hAnsi="方正仿宋_GBK" w:cs="方正仿宋_GBK" w:hint="eastAsia"/>
                <w:color w:val="000000"/>
                <w:kern w:val="0"/>
                <w:sz w:val="24"/>
              </w:rPr>
              <w:t>分，</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rPr>
              <w:t>否不得分</w:t>
            </w:r>
            <w:proofErr w:type="gramEnd"/>
            <w:r>
              <w:rPr>
                <w:rFonts w:ascii="方正仿宋_GBK" w:eastAsia="方正仿宋_GBK" w:hAnsi="方正仿宋_GBK" w:cs="方正仿宋_GBK" w:hint="eastAsia"/>
                <w:color w:val="000000"/>
                <w:kern w:val="0"/>
                <w:sz w:val="24"/>
              </w:rPr>
              <w:t>。</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查看开展垃圾分类宣传、培训等工作的资料、图片。</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1539"/>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分类投放</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准确率</w:t>
            </w:r>
            <w:r>
              <w:rPr>
                <w:rFonts w:ascii="方正仿宋_GBK" w:eastAsia="方正仿宋_GBK" w:hAnsi="方正仿宋_GBK" w:cs="方正仿宋_GBK"/>
                <w:color w:val="000000"/>
                <w:kern w:val="0"/>
                <w:sz w:val="24"/>
              </w:rPr>
              <w:t xml:space="preserve">          </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 xml:space="preserve">(30 </w:t>
            </w:r>
            <w:r>
              <w:rPr>
                <w:rFonts w:ascii="方正仿宋_GBK" w:eastAsia="方正仿宋_GBK" w:hAnsi="方正仿宋_GBK" w:cs="方正仿宋_GBK" w:hint="eastAsia"/>
                <w:color w:val="000000"/>
                <w:kern w:val="0"/>
                <w:sz w:val="24"/>
              </w:rPr>
              <w:t>分）</w:t>
            </w: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是否按照垃圾分类要求将本单位产生的可回收物、</w:t>
            </w:r>
            <w:proofErr w:type="gramStart"/>
            <w:r>
              <w:rPr>
                <w:rFonts w:ascii="方正仿宋_GBK" w:eastAsia="方正仿宋_GBK" w:hAnsi="方正仿宋_GBK" w:cs="方正仿宋_GBK" w:hint="eastAsia"/>
                <w:color w:val="000000"/>
                <w:kern w:val="0"/>
                <w:sz w:val="24"/>
              </w:rPr>
              <w:t>厨余垃圾</w:t>
            </w:r>
            <w:proofErr w:type="gramEnd"/>
            <w:r>
              <w:rPr>
                <w:rFonts w:ascii="方正仿宋_GBK" w:eastAsia="方正仿宋_GBK" w:hAnsi="方正仿宋_GBK" w:cs="方正仿宋_GBK" w:hint="eastAsia"/>
                <w:color w:val="000000"/>
                <w:kern w:val="0"/>
                <w:sz w:val="24"/>
              </w:rPr>
              <w:t>、有害垃圾、和其他垃圾分类正确投放，检查分类收集容器有没有混杂其它种类垃圾。</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按准确率得分</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准确率达</w:t>
            </w:r>
            <w:r>
              <w:rPr>
                <w:rFonts w:ascii="方正仿宋_GBK" w:eastAsia="方正仿宋_GBK" w:hAnsi="方正仿宋_GBK" w:cs="方正仿宋_GBK"/>
                <w:color w:val="000000"/>
                <w:kern w:val="0"/>
                <w:sz w:val="24"/>
              </w:rPr>
              <w:t>90% (</w:t>
            </w:r>
            <w:r>
              <w:rPr>
                <w:rFonts w:ascii="方正仿宋_GBK" w:eastAsia="方正仿宋_GBK" w:hAnsi="方正仿宋_GBK" w:cs="方正仿宋_GBK" w:hint="eastAsia"/>
                <w:color w:val="000000"/>
                <w:kern w:val="0"/>
                <w:sz w:val="24"/>
              </w:rPr>
              <w:t>含）以上得</w:t>
            </w:r>
            <w:r>
              <w:rPr>
                <w:rFonts w:ascii="方正仿宋_GBK" w:eastAsia="方正仿宋_GBK" w:hAnsi="方正仿宋_GBK" w:cs="方正仿宋_GBK"/>
                <w:color w:val="000000"/>
                <w:kern w:val="0"/>
                <w:sz w:val="24"/>
              </w:rPr>
              <w:t>30</w:t>
            </w:r>
            <w:r>
              <w:rPr>
                <w:rFonts w:ascii="方正仿宋_GBK" w:eastAsia="方正仿宋_GBK" w:hAnsi="方正仿宋_GBK" w:cs="方正仿宋_GBK" w:hint="eastAsia"/>
                <w:color w:val="000000"/>
                <w:kern w:val="0"/>
                <w:sz w:val="24"/>
              </w:rPr>
              <w:t>分；准确率</w:t>
            </w:r>
            <w:r>
              <w:rPr>
                <w:rFonts w:ascii="方正仿宋_GBK" w:eastAsia="方正仿宋_GBK" w:hAnsi="方正仿宋_GBK" w:cs="方正仿宋_GBK"/>
                <w:color w:val="000000"/>
                <w:kern w:val="0"/>
                <w:sz w:val="24"/>
              </w:rPr>
              <w:t>80% (</w:t>
            </w:r>
            <w:r>
              <w:rPr>
                <w:rFonts w:ascii="方正仿宋_GBK" w:eastAsia="方正仿宋_GBK" w:hAnsi="方正仿宋_GBK" w:cs="方正仿宋_GBK" w:hint="eastAsia"/>
                <w:color w:val="000000"/>
                <w:kern w:val="0"/>
                <w:sz w:val="24"/>
              </w:rPr>
              <w:t>含）至</w:t>
            </w:r>
            <w:r>
              <w:rPr>
                <w:rFonts w:ascii="方正仿宋_GBK" w:eastAsia="方正仿宋_GBK" w:hAnsi="方正仿宋_GBK" w:cs="方正仿宋_GBK"/>
                <w:color w:val="000000"/>
                <w:kern w:val="0"/>
                <w:sz w:val="24"/>
              </w:rPr>
              <w:t>89%</w:t>
            </w:r>
            <w:r>
              <w:rPr>
                <w:rFonts w:ascii="方正仿宋_GBK" w:eastAsia="方正仿宋_GBK" w:hAnsi="方正仿宋_GBK" w:cs="方正仿宋_GBK" w:hint="eastAsia"/>
                <w:color w:val="000000"/>
                <w:kern w:val="0"/>
                <w:sz w:val="24"/>
              </w:rPr>
              <w:t>得</w:t>
            </w:r>
            <w:r>
              <w:rPr>
                <w:rFonts w:ascii="方正仿宋_GBK" w:eastAsia="方正仿宋_GBK" w:hAnsi="方正仿宋_GBK" w:cs="方正仿宋_GBK"/>
                <w:color w:val="000000"/>
                <w:kern w:val="0"/>
                <w:sz w:val="24"/>
              </w:rPr>
              <w:t>25</w:t>
            </w:r>
            <w:r>
              <w:rPr>
                <w:rFonts w:ascii="方正仿宋_GBK" w:eastAsia="方正仿宋_GBK" w:hAnsi="方正仿宋_GBK" w:cs="方正仿宋_GBK" w:hint="eastAsia"/>
                <w:color w:val="000000"/>
                <w:kern w:val="0"/>
                <w:sz w:val="24"/>
              </w:rPr>
              <w:t>分、</w:t>
            </w:r>
            <w:r>
              <w:rPr>
                <w:rFonts w:ascii="方正仿宋_GBK" w:eastAsia="方正仿宋_GBK" w:hAnsi="方正仿宋_GBK" w:cs="方正仿宋_GBK"/>
                <w:color w:val="000000"/>
                <w:kern w:val="0"/>
                <w:sz w:val="24"/>
              </w:rPr>
              <w:t>70%</w:t>
            </w:r>
            <w:r>
              <w:rPr>
                <w:rFonts w:ascii="方正仿宋_GBK" w:eastAsia="方正仿宋_GBK" w:hAnsi="方正仿宋_GBK" w:cs="方正仿宋_GBK" w:hint="eastAsia"/>
                <w:color w:val="000000"/>
                <w:kern w:val="0"/>
                <w:sz w:val="24"/>
              </w:rPr>
              <w:t>（含）至</w:t>
            </w:r>
            <w:r>
              <w:rPr>
                <w:rFonts w:ascii="方正仿宋_GBK" w:eastAsia="方正仿宋_GBK" w:hAnsi="方正仿宋_GBK" w:cs="方正仿宋_GBK"/>
                <w:color w:val="000000"/>
                <w:kern w:val="0"/>
                <w:sz w:val="24"/>
              </w:rPr>
              <w:t>79%</w:t>
            </w:r>
            <w:r>
              <w:rPr>
                <w:rFonts w:ascii="方正仿宋_GBK" w:eastAsia="方正仿宋_GBK" w:hAnsi="方正仿宋_GBK" w:cs="方正仿宋_GBK" w:hint="eastAsia"/>
                <w:color w:val="000000"/>
                <w:kern w:val="0"/>
                <w:sz w:val="24"/>
              </w:rPr>
              <w:t>得</w:t>
            </w:r>
            <w:r>
              <w:rPr>
                <w:rFonts w:ascii="方正仿宋_GBK" w:eastAsia="方正仿宋_GBK" w:hAnsi="方正仿宋_GBK" w:cs="方正仿宋_GBK"/>
                <w:color w:val="000000"/>
                <w:kern w:val="0"/>
                <w:sz w:val="24"/>
              </w:rPr>
              <w:t>20</w:t>
            </w:r>
            <w:r>
              <w:rPr>
                <w:rFonts w:ascii="方正仿宋_GBK" w:eastAsia="方正仿宋_GBK" w:hAnsi="方正仿宋_GBK" w:cs="方正仿宋_GBK" w:hint="eastAsia"/>
                <w:color w:val="000000"/>
                <w:kern w:val="0"/>
                <w:sz w:val="24"/>
              </w:rPr>
              <w:t>分、</w:t>
            </w:r>
            <w:r>
              <w:rPr>
                <w:rFonts w:ascii="方正仿宋_GBK" w:eastAsia="方正仿宋_GBK" w:hAnsi="方正仿宋_GBK" w:cs="方正仿宋_GBK"/>
                <w:color w:val="000000"/>
                <w:kern w:val="0"/>
                <w:sz w:val="24"/>
              </w:rPr>
              <w:t>60% (</w:t>
            </w:r>
            <w:r>
              <w:rPr>
                <w:rFonts w:ascii="方正仿宋_GBK" w:eastAsia="方正仿宋_GBK" w:hAnsi="方正仿宋_GBK" w:cs="方正仿宋_GBK" w:hint="eastAsia"/>
                <w:color w:val="000000"/>
                <w:kern w:val="0"/>
                <w:sz w:val="24"/>
              </w:rPr>
              <w:t>含）至</w:t>
            </w:r>
            <w:r>
              <w:rPr>
                <w:rFonts w:ascii="方正仿宋_GBK" w:eastAsia="方正仿宋_GBK" w:hAnsi="方正仿宋_GBK" w:cs="方正仿宋_GBK"/>
                <w:color w:val="000000"/>
                <w:kern w:val="0"/>
                <w:sz w:val="24"/>
              </w:rPr>
              <w:t>69%</w:t>
            </w:r>
            <w:r>
              <w:rPr>
                <w:rFonts w:ascii="方正仿宋_GBK" w:eastAsia="方正仿宋_GBK" w:hAnsi="方正仿宋_GBK" w:cs="方正仿宋_GBK" w:hint="eastAsia"/>
                <w:color w:val="000000"/>
                <w:kern w:val="0"/>
                <w:sz w:val="24"/>
              </w:rPr>
              <w:t>得</w:t>
            </w:r>
            <w:r>
              <w:rPr>
                <w:rFonts w:ascii="方正仿宋_GBK" w:eastAsia="方正仿宋_GBK" w:hAnsi="方正仿宋_GBK" w:cs="方正仿宋_GBK"/>
                <w:color w:val="000000"/>
                <w:kern w:val="0"/>
                <w:sz w:val="24"/>
              </w:rPr>
              <w:t>15</w:t>
            </w:r>
            <w:r>
              <w:rPr>
                <w:rFonts w:ascii="方正仿宋_GBK" w:eastAsia="方正仿宋_GBK" w:hAnsi="方正仿宋_GBK" w:cs="方正仿宋_GBK" w:hint="eastAsia"/>
                <w:color w:val="000000"/>
                <w:kern w:val="0"/>
                <w:sz w:val="24"/>
              </w:rPr>
              <w:t>分，准确率在</w:t>
            </w:r>
            <w:r>
              <w:rPr>
                <w:rFonts w:ascii="方正仿宋_GBK" w:eastAsia="方正仿宋_GBK" w:hAnsi="方正仿宋_GBK" w:cs="方正仿宋_GBK"/>
                <w:color w:val="000000"/>
                <w:kern w:val="0"/>
                <w:sz w:val="24"/>
              </w:rPr>
              <w:t>60%</w:t>
            </w:r>
            <w:r>
              <w:rPr>
                <w:rFonts w:ascii="方正仿宋_GBK" w:eastAsia="方正仿宋_GBK" w:hAnsi="方正仿宋_GBK" w:cs="方正仿宋_GBK" w:hint="eastAsia"/>
                <w:color w:val="000000"/>
                <w:kern w:val="0"/>
                <w:sz w:val="24"/>
              </w:rPr>
              <w:t>以下不得分。</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695"/>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信息报送</w:t>
            </w:r>
            <w:r>
              <w:rPr>
                <w:rFonts w:ascii="方正仿宋_GBK" w:eastAsia="方正仿宋_GBK" w:hAnsi="方正仿宋_GBK" w:cs="方正仿宋_GBK"/>
                <w:color w:val="000000"/>
                <w:kern w:val="0"/>
                <w:sz w:val="24"/>
              </w:rPr>
              <w:t xml:space="preserve">    </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rPr>
              <w:t>(20</w:t>
            </w:r>
            <w:r>
              <w:rPr>
                <w:rFonts w:ascii="方正仿宋_GBK" w:eastAsia="方正仿宋_GBK" w:hAnsi="方正仿宋_GBK" w:cs="方正仿宋_GBK" w:hint="eastAsia"/>
                <w:color w:val="000000"/>
                <w:kern w:val="0"/>
                <w:sz w:val="24"/>
              </w:rPr>
              <w:t>分）</w:t>
            </w:r>
          </w:p>
        </w:tc>
        <w:tc>
          <w:tcPr>
            <w:tcW w:w="53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按要求及时向本级垃圾分类工作主管部门报送本单位垃圾分类工作完成情况等相关信息。</w:t>
            </w:r>
          </w:p>
        </w:tc>
        <w:tc>
          <w:tcPr>
            <w:tcW w:w="15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是得</w:t>
            </w:r>
            <w:r>
              <w:rPr>
                <w:rFonts w:ascii="方正仿宋_GBK" w:eastAsia="方正仿宋_GBK" w:hAnsi="方正仿宋_GBK" w:cs="方正仿宋_GBK"/>
                <w:color w:val="000000"/>
                <w:kern w:val="0"/>
                <w:sz w:val="24"/>
              </w:rPr>
              <w:t>20</w:t>
            </w:r>
            <w:r>
              <w:rPr>
                <w:rFonts w:ascii="方正仿宋_GBK" w:eastAsia="方正仿宋_GBK" w:hAnsi="方正仿宋_GBK" w:cs="方正仿宋_GBK" w:hint="eastAsia"/>
                <w:color w:val="000000"/>
                <w:kern w:val="0"/>
                <w:sz w:val="24"/>
              </w:rPr>
              <w:t>分，</w:t>
            </w:r>
          </w:p>
          <w:p w:rsidR="00077ADA" w:rsidRDefault="00077ADA" w:rsidP="00141690">
            <w:pPr>
              <w:widowControl/>
              <w:spacing w:line="40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rPr>
              <w:t>否不得分</w:t>
            </w:r>
            <w:proofErr w:type="gramEnd"/>
            <w:r>
              <w:rPr>
                <w:rFonts w:ascii="方正仿宋_GBK" w:eastAsia="方正仿宋_GBK" w:hAnsi="方正仿宋_GBK" w:cs="方正仿宋_GBK" w:hint="eastAsia"/>
                <w:color w:val="000000"/>
                <w:kern w:val="0"/>
                <w:sz w:val="24"/>
              </w:rPr>
              <w:t>。</w:t>
            </w:r>
          </w:p>
        </w:tc>
        <w:tc>
          <w:tcPr>
            <w:tcW w:w="49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查看证明材料。</w:t>
            </w:r>
          </w:p>
        </w:tc>
        <w:tc>
          <w:tcPr>
            <w:tcW w:w="8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77ADA" w:rsidRDefault="00077ADA" w:rsidP="00141690">
            <w:pPr>
              <w:spacing w:line="400" w:lineRule="exact"/>
              <w:rPr>
                <w:rFonts w:ascii="方正仿宋_GBK" w:eastAsia="方正仿宋_GBK" w:hAnsi="方正仿宋_GBK" w:cs="方正仿宋_GBK"/>
                <w:color w:val="000000"/>
                <w:sz w:val="24"/>
              </w:rPr>
            </w:pPr>
          </w:p>
        </w:tc>
      </w:tr>
      <w:tr w:rsidR="00077ADA">
        <w:trPr>
          <w:trHeight w:val="630"/>
          <w:jc w:val="center"/>
        </w:trPr>
        <w:tc>
          <w:tcPr>
            <w:tcW w:w="14400"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ADA" w:rsidRDefault="00077ADA" w:rsidP="00141690">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w:t>
            </w:r>
            <w:r>
              <w:rPr>
                <w:rFonts w:ascii="方正仿宋_GBK" w:eastAsia="方正仿宋_GBK" w:hAnsi="方正仿宋_GBK" w:cs="方正仿宋_GBK"/>
                <w:color w:val="000000"/>
                <w:sz w:val="24"/>
              </w:rPr>
              <w:t>90</w:t>
            </w:r>
            <w:r>
              <w:rPr>
                <w:rFonts w:ascii="方正仿宋_GBK" w:eastAsia="方正仿宋_GBK" w:hAnsi="方正仿宋_GBK" w:cs="方正仿宋_GBK" w:hint="eastAsia"/>
                <w:color w:val="000000"/>
                <w:sz w:val="24"/>
              </w:rPr>
              <w:t>分（含）以上为优秀，</w:t>
            </w:r>
            <w:r>
              <w:rPr>
                <w:rFonts w:ascii="方正仿宋_GBK" w:eastAsia="方正仿宋_GBK" w:hAnsi="方正仿宋_GBK" w:cs="方正仿宋_GBK"/>
                <w:color w:val="000000"/>
                <w:sz w:val="24"/>
              </w:rPr>
              <w:t>80</w:t>
            </w:r>
            <w:r>
              <w:rPr>
                <w:rFonts w:ascii="方正仿宋_GBK" w:eastAsia="方正仿宋_GBK" w:hAnsi="方正仿宋_GBK" w:cs="方正仿宋_GBK" w:hint="eastAsia"/>
                <w:color w:val="000000"/>
                <w:sz w:val="24"/>
              </w:rPr>
              <w:t>分（含）以上为合格，</w:t>
            </w:r>
            <w:r>
              <w:rPr>
                <w:rFonts w:ascii="方正仿宋_GBK" w:eastAsia="方正仿宋_GBK" w:hAnsi="方正仿宋_GBK" w:cs="方正仿宋_GBK"/>
                <w:color w:val="000000"/>
                <w:sz w:val="24"/>
              </w:rPr>
              <w:t>80</w:t>
            </w:r>
            <w:r>
              <w:rPr>
                <w:rFonts w:ascii="方正仿宋_GBK" w:eastAsia="方正仿宋_GBK" w:hAnsi="方正仿宋_GBK" w:cs="方正仿宋_GBK" w:hint="eastAsia"/>
                <w:color w:val="000000"/>
                <w:sz w:val="24"/>
              </w:rPr>
              <w:t>分以下为不合格。</w:t>
            </w:r>
          </w:p>
        </w:tc>
      </w:tr>
    </w:tbl>
    <w:p w:rsidR="00077ADA" w:rsidRDefault="00077ADA" w:rsidP="00141690">
      <w:pPr>
        <w:spacing w:line="400" w:lineRule="exact"/>
      </w:pPr>
    </w:p>
    <w:sectPr w:rsidR="00077ADA" w:rsidSect="00141690">
      <w:pgSz w:w="16838" w:h="11906" w:orient="landscape"/>
      <w:pgMar w:top="851" w:right="1440" w:bottom="85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175753"/>
    <w:rsid w:val="00077ADA"/>
    <w:rsid w:val="00141690"/>
    <w:rsid w:val="00325830"/>
    <w:rsid w:val="0066687E"/>
    <w:rsid w:val="008D357B"/>
    <w:rsid w:val="009336B4"/>
    <w:rsid w:val="00961828"/>
    <w:rsid w:val="00D56B5A"/>
    <w:rsid w:val="153025AA"/>
    <w:rsid w:val="16DA40CA"/>
    <w:rsid w:val="1CB15179"/>
    <w:rsid w:val="218417B7"/>
    <w:rsid w:val="285628E1"/>
    <w:rsid w:val="326D51ED"/>
    <w:rsid w:val="36BD2D80"/>
    <w:rsid w:val="388061AE"/>
    <w:rsid w:val="507945CF"/>
    <w:rsid w:val="52462446"/>
    <w:rsid w:val="58175753"/>
    <w:rsid w:val="618B4A3D"/>
    <w:rsid w:val="6B68582F"/>
    <w:rsid w:val="6B860D06"/>
    <w:rsid w:val="6D106295"/>
    <w:rsid w:val="72171913"/>
    <w:rsid w:val="75D7280C"/>
    <w:rsid w:val="780D68E6"/>
    <w:rsid w:val="7D933838"/>
    <w:rsid w:val="7E5F15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3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25830"/>
    <w:pPr>
      <w:tabs>
        <w:tab w:val="center" w:pos="4153"/>
        <w:tab w:val="right" w:pos="8306"/>
      </w:tabs>
      <w:snapToGrid w:val="0"/>
      <w:jc w:val="left"/>
    </w:pPr>
    <w:rPr>
      <w:sz w:val="18"/>
    </w:rPr>
  </w:style>
  <w:style w:type="character" w:customStyle="1" w:styleId="Char">
    <w:name w:val="页脚 Char"/>
    <w:basedOn w:val="a0"/>
    <w:link w:val="a3"/>
    <w:uiPriority w:val="99"/>
    <w:semiHidden/>
    <w:rsid w:val="00063D72"/>
    <w:rPr>
      <w:rFonts w:ascii="Calibri" w:hAnsi="Calibri"/>
      <w:sz w:val="18"/>
      <w:szCs w:val="18"/>
    </w:rPr>
  </w:style>
  <w:style w:type="paragraph" w:styleId="a4">
    <w:name w:val="header"/>
    <w:basedOn w:val="a"/>
    <w:link w:val="Char0"/>
    <w:uiPriority w:val="99"/>
    <w:rsid w:val="003258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063D72"/>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683</Characters>
  <Application>Microsoft Office Word</Application>
  <DocSecurity>0</DocSecurity>
  <Lines>5</Lines>
  <Paragraphs>1</Paragraphs>
  <ScaleCrop>false</ScaleCrop>
  <Company>秀英区</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系统天地</cp:lastModifiedBy>
  <cp:revision>4</cp:revision>
  <cp:lastPrinted>2020-09-23T07:02:00Z</cp:lastPrinted>
  <dcterms:created xsi:type="dcterms:W3CDTF">2020-11-11T02:16:00Z</dcterms:created>
  <dcterms:modified xsi:type="dcterms:W3CDTF">2020-11-12T07:37:00Z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